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25E81" w14:paraId="678DD62B" w14:textId="77777777" w:rsidTr="00E35DC7">
        <w:tc>
          <w:tcPr>
            <w:tcW w:w="9242" w:type="dxa"/>
            <w:tcBorders>
              <w:top w:val="nil"/>
              <w:bottom w:val="single" w:sz="4" w:space="0" w:color="auto"/>
            </w:tcBorders>
          </w:tcPr>
          <w:p w14:paraId="51DE939E" w14:textId="77777777" w:rsidR="00D25E81" w:rsidRDefault="00D25E81" w:rsidP="00E35DC7">
            <w:pPr>
              <w:jc w:val="center"/>
              <w:rPr>
                <w:rFonts w:cs="Arial"/>
                <w:b/>
                <w:sz w:val="28"/>
              </w:rPr>
            </w:pPr>
          </w:p>
          <w:p w14:paraId="62D20889" w14:textId="77777777" w:rsidR="00D25E81" w:rsidRDefault="00D25E81" w:rsidP="00E35DC7">
            <w:pPr>
              <w:jc w:val="center"/>
              <w:rPr>
                <w:rFonts w:cs="Arial"/>
                <w:b/>
                <w:sz w:val="28"/>
              </w:rPr>
            </w:pPr>
          </w:p>
          <w:p w14:paraId="2E9E6CD4" w14:textId="77777777" w:rsidR="00D25E81" w:rsidRDefault="00D25E81" w:rsidP="00E35DC7">
            <w:pPr>
              <w:jc w:val="center"/>
              <w:rPr>
                <w:rFonts w:cs="Arial"/>
                <w:b/>
                <w:sz w:val="28"/>
              </w:rPr>
            </w:pPr>
          </w:p>
          <w:p w14:paraId="0EC1BA90" w14:textId="77777777" w:rsidR="00D25E81" w:rsidRDefault="00D25E81" w:rsidP="00E35DC7">
            <w:pPr>
              <w:ind w:left="0"/>
              <w:jc w:val="center"/>
              <w:rPr>
                <w:rFonts w:cs="Arial"/>
                <w:b/>
                <w:sz w:val="28"/>
              </w:rPr>
            </w:pPr>
            <w:r>
              <w:rPr>
                <w:noProof/>
                <w:lang w:eastAsia="en-GB"/>
              </w:rPr>
              <w:drawing>
                <wp:inline distT="0" distB="0" distL="0" distR="0" wp14:anchorId="2DF91823" wp14:editId="481FC7C9">
                  <wp:extent cx="3721927" cy="1350335"/>
                  <wp:effectExtent l="0" t="0" r="0" b="2540"/>
                  <wp:docPr id="1" name="Picture 1" descr="A logo with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ack and orang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538" cy="1350194"/>
                          </a:xfrm>
                          <a:prstGeom prst="rect">
                            <a:avLst/>
                          </a:prstGeom>
                          <a:noFill/>
                          <a:ln>
                            <a:noFill/>
                          </a:ln>
                        </pic:spPr>
                      </pic:pic>
                    </a:graphicData>
                  </a:graphic>
                </wp:inline>
              </w:drawing>
            </w:r>
          </w:p>
          <w:p w14:paraId="391EECF8" w14:textId="77777777" w:rsidR="00D25E81" w:rsidRDefault="00D25E81" w:rsidP="00E35DC7">
            <w:pPr>
              <w:jc w:val="center"/>
              <w:rPr>
                <w:rFonts w:cs="Arial"/>
                <w:b/>
                <w:sz w:val="28"/>
              </w:rPr>
            </w:pPr>
          </w:p>
          <w:p w14:paraId="7275CAF2" w14:textId="77777777" w:rsidR="00D25E81" w:rsidRDefault="00D25E81" w:rsidP="00E35DC7">
            <w:pPr>
              <w:jc w:val="center"/>
              <w:rPr>
                <w:rFonts w:cs="Arial"/>
                <w:b/>
                <w:sz w:val="28"/>
              </w:rPr>
            </w:pPr>
          </w:p>
          <w:p w14:paraId="2BF7927D" w14:textId="77777777" w:rsidR="00D25E81" w:rsidRDefault="00D25E81" w:rsidP="00E35DC7">
            <w:pPr>
              <w:jc w:val="center"/>
              <w:rPr>
                <w:rFonts w:cs="Arial"/>
                <w:b/>
                <w:sz w:val="28"/>
              </w:rPr>
            </w:pPr>
          </w:p>
          <w:p w14:paraId="53BB8087" w14:textId="77777777" w:rsidR="00D25E81" w:rsidRDefault="00D25E81" w:rsidP="00E35DC7">
            <w:pPr>
              <w:jc w:val="center"/>
              <w:rPr>
                <w:rFonts w:cs="Arial"/>
                <w:b/>
                <w:sz w:val="28"/>
              </w:rPr>
            </w:pPr>
          </w:p>
          <w:p w14:paraId="5B3EA0F2" w14:textId="77777777" w:rsidR="00D25E81" w:rsidRDefault="00D25E81" w:rsidP="00E35DC7">
            <w:pPr>
              <w:jc w:val="center"/>
              <w:rPr>
                <w:rFonts w:cs="Arial"/>
                <w:b/>
                <w:sz w:val="28"/>
              </w:rPr>
            </w:pPr>
          </w:p>
          <w:p w14:paraId="0CB13EF5" w14:textId="77777777" w:rsidR="00D25E81" w:rsidRDefault="00D25E81" w:rsidP="00E35DC7">
            <w:pPr>
              <w:jc w:val="center"/>
              <w:rPr>
                <w:rFonts w:cs="Arial"/>
                <w:b/>
                <w:sz w:val="28"/>
              </w:rPr>
            </w:pPr>
          </w:p>
          <w:p w14:paraId="06C8E4B8" w14:textId="77777777" w:rsidR="00D25E81" w:rsidRDefault="00D25E81" w:rsidP="00E35DC7">
            <w:pPr>
              <w:jc w:val="center"/>
              <w:rPr>
                <w:rFonts w:cs="Arial"/>
                <w:b/>
                <w:sz w:val="28"/>
              </w:rPr>
            </w:pPr>
          </w:p>
          <w:p w14:paraId="63FB24A8" w14:textId="77777777" w:rsidR="00D25E81" w:rsidRDefault="00D25E81" w:rsidP="00E35DC7">
            <w:pPr>
              <w:jc w:val="center"/>
              <w:rPr>
                <w:rFonts w:cs="Arial"/>
                <w:b/>
                <w:sz w:val="28"/>
              </w:rPr>
            </w:pPr>
          </w:p>
          <w:p w14:paraId="34BA3B9D" w14:textId="77777777" w:rsidR="00D25E81" w:rsidRDefault="00D25E81" w:rsidP="00E35DC7">
            <w:pPr>
              <w:jc w:val="center"/>
              <w:rPr>
                <w:rFonts w:cs="Arial"/>
                <w:b/>
                <w:sz w:val="28"/>
              </w:rPr>
            </w:pPr>
          </w:p>
        </w:tc>
      </w:tr>
      <w:tr w:rsidR="00D25E81" w:rsidRPr="00392995" w14:paraId="18FAE752" w14:textId="77777777" w:rsidTr="00E35DC7">
        <w:tc>
          <w:tcPr>
            <w:tcW w:w="9242" w:type="dxa"/>
            <w:tcBorders>
              <w:top w:val="single" w:sz="4" w:space="0" w:color="auto"/>
              <w:bottom w:val="single" w:sz="4" w:space="0" w:color="auto"/>
            </w:tcBorders>
          </w:tcPr>
          <w:p w14:paraId="475E0B2F" w14:textId="77777777" w:rsidR="00D25E81" w:rsidRPr="00392995" w:rsidRDefault="00D25E81" w:rsidP="00E35DC7">
            <w:pPr>
              <w:ind w:left="-142"/>
              <w:jc w:val="center"/>
              <w:rPr>
                <w:rFonts w:ascii="Arial" w:hAnsi="Arial" w:cs="Arial"/>
                <w:b/>
                <w:sz w:val="28"/>
              </w:rPr>
            </w:pPr>
          </w:p>
          <w:p w14:paraId="7DDFE290" w14:textId="18046C2B" w:rsidR="00D25E81" w:rsidRPr="003F70EA" w:rsidRDefault="00D70B4F" w:rsidP="00E35DC7">
            <w:pPr>
              <w:ind w:left="-142"/>
              <w:jc w:val="center"/>
              <w:rPr>
                <w:rFonts w:ascii="Arial" w:hAnsi="Arial" w:cs="Arial"/>
                <w:b/>
                <w:sz w:val="32"/>
              </w:rPr>
            </w:pPr>
            <w:r>
              <w:rPr>
                <w:rFonts w:ascii="Arial" w:hAnsi="Arial" w:cs="Arial"/>
                <w:b/>
                <w:sz w:val="32"/>
              </w:rPr>
              <w:t xml:space="preserve">Draft </w:t>
            </w:r>
            <w:r w:rsidR="00D25E81">
              <w:rPr>
                <w:rFonts w:ascii="Arial" w:hAnsi="Arial" w:cs="Arial"/>
                <w:b/>
                <w:sz w:val="32"/>
              </w:rPr>
              <w:t>Boundary</w:t>
            </w:r>
            <w:r>
              <w:rPr>
                <w:rFonts w:ascii="Arial" w:hAnsi="Arial" w:cs="Arial"/>
                <w:b/>
                <w:sz w:val="32"/>
              </w:rPr>
              <w:t xml:space="preserve"> Treatment</w:t>
            </w:r>
            <w:r w:rsidR="00D25E81">
              <w:rPr>
                <w:rFonts w:ascii="Arial" w:hAnsi="Arial" w:cs="Arial"/>
                <w:b/>
                <w:sz w:val="32"/>
              </w:rPr>
              <w:t xml:space="preserve"> Policy</w:t>
            </w:r>
          </w:p>
          <w:p w14:paraId="11039C03" w14:textId="77777777" w:rsidR="00D25E81" w:rsidRPr="00392995" w:rsidRDefault="00D25E81" w:rsidP="00E35DC7">
            <w:pPr>
              <w:ind w:left="-142"/>
              <w:jc w:val="center"/>
              <w:rPr>
                <w:rFonts w:ascii="Arial" w:hAnsi="Arial" w:cs="Arial"/>
                <w:b/>
                <w:sz w:val="32"/>
              </w:rPr>
            </w:pPr>
          </w:p>
          <w:p w14:paraId="5284CF91" w14:textId="5C51C595" w:rsidR="00D25E81" w:rsidRPr="00392995" w:rsidRDefault="00D25E81" w:rsidP="00E35DC7">
            <w:pPr>
              <w:ind w:left="-142"/>
              <w:jc w:val="center"/>
              <w:rPr>
                <w:rFonts w:ascii="Arial" w:hAnsi="Arial" w:cs="Arial"/>
                <w:b/>
                <w:sz w:val="28"/>
              </w:rPr>
            </w:pPr>
            <w:r>
              <w:rPr>
                <w:rFonts w:ascii="Arial" w:hAnsi="Arial" w:cs="Arial"/>
                <w:b/>
                <w:sz w:val="28"/>
              </w:rPr>
              <w:t>SER-POL-30</w:t>
            </w:r>
          </w:p>
          <w:p w14:paraId="4C1BDB85" w14:textId="77777777" w:rsidR="00D25E81" w:rsidRPr="00392995" w:rsidRDefault="00D25E81" w:rsidP="00E35DC7">
            <w:pPr>
              <w:ind w:left="-142"/>
              <w:jc w:val="center"/>
              <w:rPr>
                <w:rFonts w:ascii="Arial" w:hAnsi="Arial" w:cs="Arial"/>
                <w:b/>
                <w:sz w:val="32"/>
              </w:rPr>
            </w:pPr>
          </w:p>
          <w:p w14:paraId="63C16218" w14:textId="254AEEB8" w:rsidR="00D25E81" w:rsidRPr="00392995" w:rsidRDefault="00D25E81" w:rsidP="00E35DC7">
            <w:pPr>
              <w:ind w:left="-142"/>
              <w:jc w:val="center"/>
              <w:rPr>
                <w:rFonts w:ascii="Arial" w:hAnsi="Arial" w:cs="Arial"/>
                <w:b/>
                <w:sz w:val="28"/>
              </w:rPr>
            </w:pPr>
            <w:r w:rsidRPr="00392995">
              <w:rPr>
                <w:rFonts w:ascii="Arial" w:hAnsi="Arial" w:cs="Arial"/>
                <w:b/>
                <w:sz w:val="28"/>
              </w:rPr>
              <w:t xml:space="preserve">Version </w:t>
            </w:r>
            <w:r>
              <w:rPr>
                <w:rFonts w:ascii="Arial" w:hAnsi="Arial" w:cs="Arial"/>
                <w:b/>
                <w:sz w:val="28"/>
              </w:rPr>
              <w:t>2.</w:t>
            </w:r>
          </w:p>
          <w:p w14:paraId="0CDD1853" w14:textId="77777777" w:rsidR="00D25E81" w:rsidRPr="00392995" w:rsidRDefault="00D25E81" w:rsidP="00E35DC7">
            <w:pPr>
              <w:ind w:left="-142"/>
              <w:jc w:val="center"/>
              <w:rPr>
                <w:rFonts w:ascii="Arial" w:hAnsi="Arial" w:cs="Arial"/>
                <w:b/>
              </w:rPr>
            </w:pPr>
          </w:p>
        </w:tc>
      </w:tr>
      <w:tr w:rsidR="00D25E81" w:rsidRPr="00392995" w14:paraId="595BB344" w14:textId="77777777" w:rsidTr="00E35DC7">
        <w:tc>
          <w:tcPr>
            <w:tcW w:w="9242" w:type="dxa"/>
            <w:tcBorders>
              <w:top w:val="single" w:sz="4" w:space="0" w:color="auto"/>
              <w:bottom w:val="single" w:sz="4" w:space="0" w:color="auto"/>
            </w:tcBorders>
          </w:tcPr>
          <w:p w14:paraId="6C88ECFC" w14:textId="77777777" w:rsidR="00D25E81" w:rsidRPr="00392995" w:rsidRDefault="00D25E81" w:rsidP="00E35DC7">
            <w:pPr>
              <w:ind w:left="-142"/>
              <w:jc w:val="center"/>
              <w:rPr>
                <w:rFonts w:ascii="Arial" w:hAnsi="Arial" w:cs="Arial"/>
                <w:b/>
              </w:rPr>
            </w:pPr>
          </w:p>
          <w:p w14:paraId="5BF8623A" w14:textId="5DD94CCA" w:rsidR="00D25E81" w:rsidRPr="00392995" w:rsidRDefault="00D25E81" w:rsidP="00E35DC7">
            <w:pPr>
              <w:ind w:left="-142"/>
              <w:jc w:val="center"/>
              <w:rPr>
                <w:rFonts w:ascii="Arial" w:hAnsi="Arial" w:cs="Arial"/>
                <w:b/>
              </w:rPr>
            </w:pPr>
            <w:r w:rsidRPr="00392995">
              <w:rPr>
                <w:rFonts w:ascii="Arial" w:hAnsi="Arial" w:cs="Arial"/>
                <w:b/>
              </w:rPr>
              <w:t xml:space="preserve">Date approved: </w:t>
            </w:r>
            <w:r>
              <w:rPr>
                <w:rFonts w:ascii="Arial" w:hAnsi="Arial" w:cs="Arial"/>
                <w:b/>
              </w:rPr>
              <w:t>1 August 2023</w:t>
            </w:r>
          </w:p>
          <w:p w14:paraId="62DD2D73" w14:textId="77777777" w:rsidR="00D25E81" w:rsidRPr="00392995" w:rsidRDefault="00D25E81" w:rsidP="00E35DC7">
            <w:pPr>
              <w:ind w:left="-142"/>
              <w:jc w:val="center"/>
              <w:rPr>
                <w:rFonts w:ascii="Arial" w:hAnsi="Arial" w:cs="Arial"/>
                <w:b/>
              </w:rPr>
            </w:pPr>
          </w:p>
          <w:p w14:paraId="5A258192" w14:textId="2284E9D8" w:rsidR="00D25E81" w:rsidRPr="00392995" w:rsidRDefault="00D25E81" w:rsidP="00E35DC7">
            <w:pPr>
              <w:ind w:left="-142"/>
              <w:jc w:val="center"/>
              <w:rPr>
                <w:rFonts w:ascii="Arial" w:hAnsi="Arial" w:cs="Arial"/>
                <w:b/>
              </w:rPr>
            </w:pPr>
            <w:r w:rsidRPr="00392995">
              <w:rPr>
                <w:rFonts w:ascii="Arial" w:hAnsi="Arial" w:cs="Arial"/>
                <w:b/>
              </w:rPr>
              <w:t xml:space="preserve">Approved by: </w:t>
            </w:r>
            <w:r>
              <w:rPr>
                <w:rFonts w:ascii="Arial" w:hAnsi="Arial" w:cs="Arial"/>
                <w:b/>
              </w:rPr>
              <w:t>People and Places Committee</w:t>
            </w:r>
          </w:p>
          <w:p w14:paraId="6BE8B459" w14:textId="77777777" w:rsidR="00D25E81" w:rsidRPr="00392995" w:rsidRDefault="00D25E81" w:rsidP="00E35DC7">
            <w:pPr>
              <w:ind w:left="-142"/>
              <w:jc w:val="center"/>
              <w:rPr>
                <w:rFonts w:ascii="Arial" w:hAnsi="Arial" w:cs="Arial"/>
                <w:b/>
              </w:rPr>
            </w:pPr>
          </w:p>
        </w:tc>
      </w:tr>
    </w:tbl>
    <w:p w14:paraId="7EEC140A" w14:textId="77777777" w:rsidR="00D25E81" w:rsidRDefault="00D25E81">
      <w:pPr>
        <w:rPr>
          <w:b/>
          <w:bCs/>
        </w:rPr>
      </w:pPr>
    </w:p>
    <w:p w14:paraId="7505F381" w14:textId="77777777" w:rsidR="00D25E81" w:rsidRDefault="00D25E81">
      <w:pPr>
        <w:rPr>
          <w:b/>
          <w:bCs/>
        </w:rPr>
      </w:pPr>
    </w:p>
    <w:p w14:paraId="1C5C8674" w14:textId="77777777" w:rsidR="00D25E81" w:rsidRDefault="00D25E81">
      <w:pPr>
        <w:rPr>
          <w:b/>
          <w:bCs/>
        </w:rPr>
      </w:pPr>
    </w:p>
    <w:p w14:paraId="7981390B" w14:textId="77777777" w:rsidR="00D25E81" w:rsidRDefault="00D25E81">
      <w:pPr>
        <w:rPr>
          <w:b/>
          <w:bCs/>
        </w:rPr>
      </w:pPr>
    </w:p>
    <w:p w14:paraId="6D79492B" w14:textId="77777777" w:rsidR="00D25E81" w:rsidRDefault="00D25E81">
      <w:pPr>
        <w:rPr>
          <w:b/>
          <w:bCs/>
        </w:rPr>
      </w:pPr>
    </w:p>
    <w:p w14:paraId="4AC2C728" w14:textId="77777777" w:rsidR="00D25E81" w:rsidRDefault="00D25E81">
      <w:pPr>
        <w:rPr>
          <w:b/>
          <w:bCs/>
        </w:rPr>
      </w:pPr>
    </w:p>
    <w:p w14:paraId="36BFDAF8" w14:textId="77777777" w:rsidR="00D25E81" w:rsidRDefault="00D25E81">
      <w:pPr>
        <w:rPr>
          <w:b/>
          <w:bCs/>
        </w:rPr>
      </w:pPr>
    </w:p>
    <w:p w14:paraId="2C84E47A" w14:textId="77777777" w:rsidR="00D25E81" w:rsidRDefault="00D25E81">
      <w:pPr>
        <w:rPr>
          <w:b/>
          <w:bCs/>
        </w:rPr>
      </w:pPr>
    </w:p>
    <w:p w14:paraId="3D8CFD6F" w14:textId="77777777" w:rsidR="00D25E81" w:rsidRDefault="00D25E81">
      <w:pPr>
        <w:rPr>
          <w:b/>
          <w:bCs/>
        </w:rPr>
      </w:pPr>
    </w:p>
    <w:p w14:paraId="617707BE" w14:textId="005B83DE" w:rsidR="00037DA3" w:rsidRDefault="00281DE9">
      <w:pPr>
        <w:rPr>
          <w:b/>
          <w:bCs/>
        </w:rPr>
      </w:pPr>
      <w:r w:rsidRPr="00D25E81">
        <w:rPr>
          <w:b/>
          <w:bCs/>
          <w:sz w:val="32"/>
          <w:szCs w:val="32"/>
        </w:rPr>
        <w:lastRenderedPageBreak/>
        <w:t>1.</w:t>
      </w:r>
      <w:r>
        <w:rPr>
          <w:b/>
          <w:bCs/>
        </w:rPr>
        <w:tab/>
      </w:r>
      <w:r w:rsidR="00037DA3" w:rsidRPr="00D25E81">
        <w:rPr>
          <w:b/>
          <w:bCs/>
          <w:sz w:val="32"/>
          <w:szCs w:val="32"/>
        </w:rPr>
        <w:t>Aims of this policy</w:t>
      </w:r>
      <w:r w:rsidR="00037DA3" w:rsidRPr="00281DE9">
        <w:rPr>
          <w:b/>
          <w:bCs/>
        </w:rPr>
        <w:t xml:space="preserve"> </w:t>
      </w:r>
    </w:p>
    <w:p w14:paraId="7BB23A95" w14:textId="77777777" w:rsidR="00D25E81" w:rsidRPr="00281DE9" w:rsidRDefault="00D25E81">
      <w:pPr>
        <w:rPr>
          <w:b/>
          <w:bCs/>
        </w:rPr>
      </w:pPr>
    </w:p>
    <w:p w14:paraId="3B94921A" w14:textId="28A6FB80" w:rsidR="00037DA3" w:rsidRDefault="00037DA3" w:rsidP="00E850D0">
      <w:pPr>
        <w:ind w:left="720" w:hanging="720"/>
      </w:pPr>
      <w:r>
        <w:t xml:space="preserve">1.1 </w:t>
      </w:r>
      <w:r w:rsidR="00E850D0">
        <w:tab/>
      </w:r>
      <w:r>
        <w:t xml:space="preserve">This policy is intended to </w:t>
      </w:r>
      <w:r w:rsidR="00651F03">
        <w:t xml:space="preserve">clearly </w:t>
      </w:r>
      <w:r>
        <w:t xml:space="preserve">set out the responsibilities </w:t>
      </w:r>
      <w:r w:rsidR="00A81CFF">
        <w:t xml:space="preserve">of both Southway and its tenants </w:t>
      </w:r>
      <w:r w:rsidR="0083473A">
        <w:t>with regard</w:t>
      </w:r>
      <w:r w:rsidR="00D70B4F">
        <w:t>s</w:t>
      </w:r>
      <w:r w:rsidR="0083473A">
        <w:t xml:space="preserve"> </w:t>
      </w:r>
      <w:r w:rsidR="00281DE9">
        <w:t>the fitting and replacement of boundaries</w:t>
      </w:r>
      <w:r w:rsidR="00D70B4F">
        <w:t>,</w:t>
      </w:r>
      <w:r w:rsidR="00281DE9">
        <w:t xml:space="preserve"> including </w:t>
      </w:r>
      <w:r>
        <w:t xml:space="preserve">fencing. These </w:t>
      </w:r>
      <w:r w:rsidR="00D70B4F">
        <w:t>responsibilities are</w:t>
      </w:r>
      <w:r>
        <w:t xml:space="preserve"> </w:t>
      </w:r>
      <w:r w:rsidR="00281DE9">
        <w:t xml:space="preserve">contained within the </w:t>
      </w:r>
      <w:r w:rsidR="00D70B4F">
        <w:t>Trusts tenancy</w:t>
      </w:r>
      <w:r>
        <w:t xml:space="preserve"> agreement</w:t>
      </w:r>
      <w:r w:rsidR="00A81CFF">
        <w:t>s</w:t>
      </w:r>
      <w:r>
        <w:t xml:space="preserve">. </w:t>
      </w:r>
    </w:p>
    <w:p w14:paraId="53A9D3AA" w14:textId="735CA3A4" w:rsidR="00037DA3" w:rsidRDefault="00037DA3" w:rsidP="00E850D0">
      <w:pPr>
        <w:ind w:left="720" w:hanging="720"/>
      </w:pPr>
      <w:r>
        <w:t xml:space="preserve">1.2 </w:t>
      </w:r>
      <w:r w:rsidR="00E850D0">
        <w:tab/>
      </w:r>
      <w:r>
        <w:t>The policy explain</w:t>
      </w:r>
      <w:r w:rsidR="00281DE9">
        <w:t>s</w:t>
      </w:r>
      <w:r>
        <w:t xml:space="preserve"> what a tenant should do if they require a minor repair to fencing</w:t>
      </w:r>
      <w:r w:rsidR="00281DE9">
        <w:t>, boundaries</w:t>
      </w:r>
      <w:r>
        <w:t xml:space="preserve"> or gates, and the service they can expect if they have fencing that is beyond </w:t>
      </w:r>
      <w:r w:rsidR="00281DE9">
        <w:t xml:space="preserve">the scope of a </w:t>
      </w:r>
      <w:r>
        <w:t xml:space="preserve">minor repair. </w:t>
      </w:r>
    </w:p>
    <w:p w14:paraId="252980A5" w14:textId="43FEB188" w:rsidR="00037DA3" w:rsidRDefault="00037DA3" w:rsidP="00E850D0">
      <w:pPr>
        <w:ind w:left="720" w:hanging="720"/>
      </w:pPr>
      <w:r>
        <w:t xml:space="preserve">1.3 </w:t>
      </w:r>
      <w:r w:rsidR="00E850D0">
        <w:tab/>
      </w:r>
      <w:r w:rsidR="00281DE9">
        <w:t xml:space="preserve">The Trust is proud of the green appearance of its neighbourhoods and will </w:t>
      </w:r>
      <w:r w:rsidR="0083473A">
        <w:t xml:space="preserve">always </w:t>
      </w:r>
      <w:r w:rsidR="00281DE9">
        <w:t xml:space="preserve">promote </w:t>
      </w:r>
      <w:r>
        <w:t xml:space="preserve">the retention of living hedges and privet fencing, over hard landscape fencing. </w:t>
      </w:r>
      <w:r w:rsidR="00651F03">
        <w:t xml:space="preserve">This supports our </w:t>
      </w:r>
      <w:r w:rsidR="005B7AEC">
        <w:t>commitment to achieve Net Zero Carbon by 2028.</w:t>
      </w:r>
      <w:r w:rsidR="00651F03">
        <w:t xml:space="preserve"> </w:t>
      </w:r>
    </w:p>
    <w:p w14:paraId="2FFD29DD" w14:textId="5D23C67E" w:rsidR="00DA1B34" w:rsidRDefault="00037DA3" w:rsidP="00E850D0">
      <w:pPr>
        <w:ind w:left="720" w:hanging="720"/>
      </w:pPr>
      <w:r>
        <w:t xml:space="preserve">1.4 </w:t>
      </w:r>
      <w:r w:rsidR="00E850D0">
        <w:tab/>
      </w:r>
      <w:r w:rsidR="00281DE9">
        <w:t>The</w:t>
      </w:r>
      <w:r>
        <w:t xml:space="preserve"> policy </w:t>
      </w:r>
      <w:r w:rsidR="00281DE9">
        <w:t xml:space="preserve">also advises </w:t>
      </w:r>
      <w:r>
        <w:t xml:space="preserve">the process for </w:t>
      </w:r>
      <w:r w:rsidR="005B7AEC">
        <w:t>tenants</w:t>
      </w:r>
      <w:r>
        <w:t xml:space="preserve"> to follow when they wish to erect their own fencing.</w:t>
      </w:r>
    </w:p>
    <w:p w14:paraId="5B686075" w14:textId="4E4957B2" w:rsidR="00037DA3" w:rsidRDefault="00037DA3"/>
    <w:p w14:paraId="213B40B1" w14:textId="2DAA5E0A" w:rsidR="00D25E81" w:rsidRDefault="00281DE9" w:rsidP="00D25E81">
      <w:pPr>
        <w:ind w:left="720" w:hanging="720"/>
        <w:rPr>
          <w:b/>
          <w:bCs/>
          <w:sz w:val="32"/>
          <w:szCs w:val="32"/>
        </w:rPr>
      </w:pPr>
      <w:r w:rsidRPr="00D25E81">
        <w:rPr>
          <w:b/>
          <w:bCs/>
          <w:sz w:val="32"/>
          <w:szCs w:val="32"/>
        </w:rPr>
        <w:t>2.</w:t>
      </w:r>
      <w:r w:rsidRPr="00D25E81">
        <w:rPr>
          <w:b/>
          <w:bCs/>
          <w:sz w:val="32"/>
          <w:szCs w:val="32"/>
        </w:rPr>
        <w:tab/>
        <w:t>Responsibility for Boundary Replacements</w:t>
      </w:r>
      <w:r w:rsidR="00A81CFF" w:rsidRPr="00D25E81">
        <w:rPr>
          <w:b/>
          <w:bCs/>
          <w:sz w:val="32"/>
          <w:szCs w:val="32"/>
        </w:rPr>
        <w:t xml:space="preserve"> </w:t>
      </w:r>
      <w:r w:rsidR="005B7AEC" w:rsidRPr="00D25E81">
        <w:rPr>
          <w:b/>
          <w:bCs/>
          <w:sz w:val="32"/>
          <w:szCs w:val="32"/>
        </w:rPr>
        <w:t xml:space="preserve">and Repairs </w:t>
      </w:r>
      <w:r w:rsidR="00D25E81">
        <w:rPr>
          <w:b/>
          <w:bCs/>
          <w:sz w:val="32"/>
          <w:szCs w:val="32"/>
        </w:rPr>
        <w:t>–</w:t>
      </w:r>
      <w:r w:rsidR="005B7AEC" w:rsidRPr="00D25E81">
        <w:rPr>
          <w:b/>
          <w:bCs/>
          <w:sz w:val="32"/>
          <w:szCs w:val="32"/>
        </w:rPr>
        <w:t xml:space="preserve"> </w:t>
      </w:r>
      <w:r w:rsidR="00D70B4F">
        <w:rPr>
          <w:b/>
          <w:bCs/>
          <w:sz w:val="32"/>
          <w:szCs w:val="32"/>
        </w:rPr>
        <w:t>T</w:t>
      </w:r>
      <w:r w:rsidR="005B7AEC" w:rsidRPr="00D25E81">
        <w:rPr>
          <w:b/>
          <w:bCs/>
          <w:sz w:val="32"/>
          <w:szCs w:val="32"/>
        </w:rPr>
        <w:t>enants</w:t>
      </w:r>
    </w:p>
    <w:p w14:paraId="7C4235BE" w14:textId="77777777" w:rsidR="00D25E81" w:rsidRPr="00D25E81" w:rsidRDefault="00D25E81" w:rsidP="00D25E81">
      <w:pPr>
        <w:rPr>
          <w:b/>
          <w:bCs/>
          <w:szCs w:val="24"/>
        </w:rPr>
      </w:pPr>
    </w:p>
    <w:p w14:paraId="3DA0CF31" w14:textId="5D03BD85" w:rsidR="00E850D0" w:rsidRDefault="00037DA3" w:rsidP="005B7AEC">
      <w:pPr>
        <w:ind w:left="720" w:hanging="720"/>
      </w:pPr>
      <w:r w:rsidRPr="00281DE9">
        <w:t xml:space="preserve">2.1 </w:t>
      </w:r>
      <w:r w:rsidR="00281DE9" w:rsidRPr="00281DE9">
        <w:tab/>
      </w:r>
      <w:r>
        <w:t>Under the terms of our Tenancy Agreement</w:t>
      </w:r>
      <w:r w:rsidR="00281DE9">
        <w:t>s</w:t>
      </w:r>
      <w:r>
        <w:t xml:space="preserve">, </w:t>
      </w:r>
      <w:r w:rsidR="00E850D0">
        <w:t>the following responsibilities are included:</w:t>
      </w:r>
      <w:r>
        <w:t xml:space="preserve"> </w:t>
      </w:r>
    </w:p>
    <w:p w14:paraId="7B0DD952" w14:textId="77777777" w:rsidR="00E850D0" w:rsidRDefault="00E850D0" w:rsidP="005B7AEC">
      <w:pPr>
        <w:ind w:left="720" w:hanging="720"/>
      </w:pPr>
    </w:p>
    <w:p w14:paraId="35CEE0FC" w14:textId="044C44C3" w:rsidR="00E850D0" w:rsidRPr="00D25E81" w:rsidRDefault="00E850D0" w:rsidP="00D25E81">
      <w:pPr>
        <w:autoSpaceDE w:val="0"/>
        <w:autoSpaceDN w:val="0"/>
        <w:spacing w:after="0" w:line="240" w:lineRule="auto"/>
        <w:ind w:left="720"/>
        <w:rPr>
          <w:rFonts w:cs="Arial"/>
          <w:color w:val="000000" w:themeColor="text1"/>
          <w:szCs w:val="24"/>
          <w:u w:val="single"/>
          <w:lang w:val="en-US"/>
        </w:rPr>
      </w:pPr>
      <w:r w:rsidRPr="00D25E81">
        <w:rPr>
          <w:rFonts w:cs="Arial"/>
          <w:color w:val="000000" w:themeColor="text1"/>
          <w:szCs w:val="24"/>
          <w:u w:val="single"/>
          <w:lang w:val="en-US"/>
        </w:rPr>
        <w:t xml:space="preserve">Standard Assured </w:t>
      </w:r>
      <w:r w:rsidR="00196D65" w:rsidRPr="00D25E81">
        <w:rPr>
          <w:rFonts w:cs="Arial"/>
          <w:color w:val="000000" w:themeColor="text1"/>
          <w:szCs w:val="24"/>
          <w:u w:val="single"/>
          <w:lang w:val="en-US"/>
        </w:rPr>
        <w:t xml:space="preserve">Tenancy </w:t>
      </w:r>
      <w:r w:rsidRPr="00D25E81">
        <w:rPr>
          <w:rFonts w:cs="Arial"/>
          <w:color w:val="000000" w:themeColor="text1"/>
          <w:szCs w:val="24"/>
          <w:u w:val="single"/>
          <w:lang w:val="en-US"/>
        </w:rPr>
        <w:t>Agreement and Assured Tenancy Agreement with Protected Rights</w:t>
      </w:r>
    </w:p>
    <w:p w14:paraId="76D5E01C" w14:textId="77777777" w:rsidR="00E850D0" w:rsidRPr="00E850D0" w:rsidRDefault="00E850D0" w:rsidP="00E850D0">
      <w:pPr>
        <w:pStyle w:val="Heading4"/>
        <w:ind w:left="360" w:right="888"/>
        <w:rPr>
          <w:rFonts w:ascii="Arial" w:eastAsia="Times New Roman" w:hAnsi="Arial" w:cs="Arial"/>
          <w:b w:val="0"/>
          <w:bCs w:val="0"/>
          <w:color w:val="000000" w:themeColor="text1"/>
          <w:lang w:val="en-US"/>
        </w:rPr>
      </w:pPr>
    </w:p>
    <w:p w14:paraId="18644A1E" w14:textId="329290AF" w:rsidR="00E850D0" w:rsidRPr="00E850D0" w:rsidRDefault="00E850D0" w:rsidP="00E850D0">
      <w:pPr>
        <w:pStyle w:val="Heading4"/>
        <w:ind w:right="888" w:firstLine="680"/>
        <w:rPr>
          <w:rFonts w:ascii="Arial" w:eastAsia="Times New Roman" w:hAnsi="Arial" w:cs="Arial"/>
          <w:b w:val="0"/>
          <w:bCs w:val="0"/>
          <w:color w:val="000000" w:themeColor="text1"/>
          <w:lang w:val="en-US"/>
        </w:rPr>
      </w:pPr>
      <w:r w:rsidRPr="00E850D0">
        <w:rPr>
          <w:rFonts w:ascii="Arial" w:eastAsia="Times New Roman" w:hAnsi="Arial" w:cs="Arial"/>
          <w:b w:val="0"/>
          <w:bCs w:val="0"/>
          <w:color w:val="000000" w:themeColor="text1"/>
          <w:lang w:val="en-US"/>
        </w:rPr>
        <w:t>Repair</w:t>
      </w:r>
      <w:r w:rsidRPr="00E850D0">
        <w:rPr>
          <w:rFonts w:ascii="Arial" w:eastAsia="Times New Roman" w:hAnsi="Arial" w:cs="Arial"/>
          <w:b w:val="0"/>
          <w:bCs w:val="0"/>
          <w:color w:val="000000" w:themeColor="text1"/>
          <w:spacing w:val="-11"/>
          <w:lang w:val="en-US"/>
        </w:rPr>
        <w:t xml:space="preserve"> </w:t>
      </w:r>
      <w:r w:rsidRPr="00E850D0">
        <w:rPr>
          <w:rFonts w:ascii="Arial" w:eastAsia="Times New Roman" w:hAnsi="Arial" w:cs="Arial"/>
          <w:b w:val="0"/>
          <w:bCs w:val="0"/>
          <w:color w:val="000000" w:themeColor="text1"/>
          <w:lang w:val="en-US"/>
        </w:rPr>
        <w:t>of</w:t>
      </w:r>
      <w:r w:rsidRPr="00E850D0">
        <w:rPr>
          <w:rFonts w:ascii="Arial" w:eastAsia="Times New Roman" w:hAnsi="Arial" w:cs="Arial"/>
          <w:b w:val="0"/>
          <w:bCs w:val="0"/>
          <w:color w:val="000000" w:themeColor="text1"/>
          <w:spacing w:val="-11"/>
          <w:lang w:val="en-US"/>
        </w:rPr>
        <w:t xml:space="preserve"> </w:t>
      </w:r>
      <w:r w:rsidRPr="00E850D0">
        <w:rPr>
          <w:rFonts w:ascii="Arial" w:eastAsia="Times New Roman" w:hAnsi="Arial" w:cs="Arial"/>
          <w:b w:val="0"/>
          <w:bCs w:val="0"/>
          <w:color w:val="000000" w:themeColor="text1"/>
          <w:lang w:val="en-US"/>
        </w:rPr>
        <w:t>Structure and</w:t>
      </w:r>
      <w:r w:rsidRPr="00E850D0">
        <w:rPr>
          <w:rFonts w:ascii="Arial" w:eastAsia="Times New Roman" w:hAnsi="Arial" w:cs="Arial"/>
          <w:b w:val="0"/>
          <w:bCs w:val="0"/>
          <w:color w:val="000000" w:themeColor="text1"/>
          <w:spacing w:val="6"/>
          <w:lang w:val="en-US"/>
        </w:rPr>
        <w:t xml:space="preserve"> </w:t>
      </w:r>
      <w:r w:rsidRPr="00E850D0">
        <w:rPr>
          <w:rFonts w:ascii="Arial" w:eastAsia="Times New Roman" w:hAnsi="Arial" w:cs="Arial"/>
          <w:b w:val="0"/>
          <w:bCs w:val="0"/>
          <w:color w:val="000000" w:themeColor="text1"/>
          <w:lang w:val="en-US"/>
        </w:rPr>
        <w:t>exterior</w:t>
      </w:r>
      <w:r w:rsidR="00F44DD5">
        <w:rPr>
          <w:rFonts w:ascii="Arial" w:eastAsia="Times New Roman" w:hAnsi="Arial" w:cs="Arial"/>
          <w:b w:val="0"/>
          <w:bCs w:val="0"/>
          <w:color w:val="000000" w:themeColor="text1"/>
          <w:lang w:val="en-US"/>
        </w:rPr>
        <w:t>:</w:t>
      </w:r>
    </w:p>
    <w:p w14:paraId="23A823AB" w14:textId="77777777" w:rsidR="00D25E81" w:rsidRDefault="00D25E81" w:rsidP="00E850D0">
      <w:pPr>
        <w:pStyle w:val="BodyText"/>
        <w:spacing w:before="59" w:line="324" w:lineRule="auto"/>
        <w:ind w:left="720" w:right="8"/>
        <w:rPr>
          <w:rFonts w:ascii="Arial" w:hAnsi="Arial" w:cs="Arial"/>
          <w:color w:val="000000" w:themeColor="text1"/>
          <w:sz w:val="24"/>
          <w:szCs w:val="24"/>
          <w:lang w:val="en-US"/>
        </w:rPr>
      </w:pPr>
    </w:p>
    <w:p w14:paraId="5A7C1A24" w14:textId="6129B746" w:rsidR="00E850D0" w:rsidRDefault="00E850D0" w:rsidP="00E850D0">
      <w:pPr>
        <w:pStyle w:val="BodyText"/>
        <w:spacing w:before="59" w:line="324" w:lineRule="auto"/>
        <w:ind w:left="720" w:right="8"/>
        <w:rPr>
          <w:rFonts w:ascii="Arial" w:hAnsi="Arial" w:cs="Arial"/>
          <w:color w:val="000000" w:themeColor="text1"/>
          <w:sz w:val="24"/>
          <w:szCs w:val="24"/>
          <w:lang w:val="en-US"/>
        </w:rPr>
      </w:pPr>
      <w:r w:rsidRPr="00E850D0">
        <w:rPr>
          <w:rFonts w:ascii="Arial" w:hAnsi="Arial" w:cs="Arial"/>
          <w:color w:val="000000" w:themeColor="text1"/>
          <w:sz w:val="24"/>
          <w:szCs w:val="24"/>
          <w:lang w:val="en-US"/>
        </w:rPr>
        <w:t xml:space="preserve">The Trust will keep the structure and exterior of the Premises in repair </w:t>
      </w:r>
      <w:r w:rsidR="00D25E81">
        <w:rPr>
          <w:rFonts w:ascii="Arial" w:hAnsi="Arial" w:cs="Arial"/>
          <w:color w:val="000000" w:themeColor="text1"/>
          <w:sz w:val="24"/>
          <w:szCs w:val="24"/>
          <w:lang w:val="en-US"/>
        </w:rPr>
        <w:t>inc</w:t>
      </w:r>
      <w:r w:rsidR="00D25E81" w:rsidRPr="00E850D0">
        <w:rPr>
          <w:rFonts w:ascii="Arial" w:hAnsi="Arial" w:cs="Arial"/>
          <w:color w:val="000000" w:themeColor="text1"/>
          <w:sz w:val="24"/>
          <w:szCs w:val="24"/>
          <w:lang w:val="en-US"/>
        </w:rPr>
        <w:t>luding</w:t>
      </w:r>
      <w:r w:rsidRPr="00E850D0">
        <w:rPr>
          <w:rFonts w:ascii="Arial" w:hAnsi="Arial" w:cs="Arial"/>
          <w:color w:val="000000" w:themeColor="text1"/>
          <w:sz w:val="24"/>
          <w:szCs w:val="24"/>
          <w:lang w:val="en-US"/>
        </w:rPr>
        <w:t xml:space="preserve"> fences and gates (where provided by the Trust), pathways, steps, ramps</w:t>
      </w:r>
      <w:r w:rsidRPr="00E850D0">
        <w:rPr>
          <w:rFonts w:ascii="Arial" w:hAnsi="Arial" w:cs="Arial"/>
          <w:color w:val="000000" w:themeColor="text1"/>
          <w:spacing w:val="-7"/>
          <w:sz w:val="24"/>
          <w:szCs w:val="24"/>
          <w:lang w:val="en-US"/>
        </w:rPr>
        <w:t xml:space="preserve"> </w:t>
      </w:r>
      <w:r w:rsidRPr="00E850D0">
        <w:rPr>
          <w:rFonts w:ascii="Arial" w:hAnsi="Arial" w:cs="Arial"/>
          <w:color w:val="000000" w:themeColor="text1"/>
          <w:sz w:val="24"/>
          <w:szCs w:val="24"/>
          <w:lang w:val="en-US"/>
        </w:rPr>
        <w:t>and stairlifts</w:t>
      </w:r>
      <w:r>
        <w:rPr>
          <w:rFonts w:ascii="Arial" w:hAnsi="Arial" w:cs="Arial"/>
          <w:color w:val="000000" w:themeColor="text1"/>
          <w:sz w:val="24"/>
          <w:szCs w:val="24"/>
          <w:lang w:val="en-US"/>
        </w:rPr>
        <w:t>.</w:t>
      </w:r>
    </w:p>
    <w:p w14:paraId="652FA1A3" w14:textId="77777777" w:rsidR="00196D65" w:rsidRPr="00E850D0" w:rsidRDefault="00196D65" w:rsidP="00E850D0">
      <w:pPr>
        <w:pStyle w:val="BodyText"/>
        <w:spacing w:before="59" w:line="324" w:lineRule="auto"/>
        <w:ind w:left="720" w:right="8"/>
        <w:rPr>
          <w:rFonts w:ascii="Arial" w:hAnsi="Arial" w:cs="Arial"/>
          <w:color w:val="000000" w:themeColor="text1"/>
          <w:sz w:val="24"/>
          <w:szCs w:val="24"/>
          <w:lang w:val="en-US"/>
        </w:rPr>
      </w:pPr>
    </w:p>
    <w:p w14:paraId="3296F594" w14:textId="62FEEA05" w:rsidR="00E850D0" w:rsidRPr="00D25E81" w:rsidRDefault="00E850D0" w:rsidP="00D70B4F">
      <w:pPr>
        <w:ind w:firstLine="720"/>
        <w:rPr>
          <w:rFonts w:cs="Arial"/>
          <w:szCs w:val="24"/>
          <w:u w:val="single"/>
        </w:rPr>
      </w:pPr>
      <w:r w:rsidRPr="00D25E81">
        <w:rPr>
          <w:rFonts w:cs="Arial"/>
          <w:szCs w:val="24"/>
          <w:u w:val="single"/>
        </w:rPr>
        <w:t>Assured (Non-Shorthold) Tenancy Agreement V</w:t>
      </w:r>
      <w:r w:rsidR="00D70B4F" w:rsidRPr="00D25E81">
        <w:rPr>
          <w:rFonts w:cs="Arial"/>
          <w:szCs w:val="24"/>
          <w:u w:val="single"/>
        </w:rPr>
        <w:t>17 and</w:t>
      </w:r>
      <w:r w:rsidR="00196D65" w:rsidRPr="00D25E81">
        <w:rPr>
          <w:rFonts w:cs="Arial"/>
          <w:szCs w:val="24"/>
          <w:u w:val="single"/>
        </w:rPr>
        <w:t xml:space="preserve"> V21 Agreements</w:t>
      </w:r>
      <w:r w:rsidRPr="00D25E81">
        <w:rPr>
          <w:rFonts w:cs="Arial"/>
          <w:szCs w:val="24"/>
          <w:u w:val="single"/>
        </w:rPr>
        <w:t xml:space="preserve"> </w:t>
      </w:r>
    </w:p>
    <w:p w14:paraId="1BD9C753" w14:textId="3BC56822" w:rsidR="00E850D0" w:rsidRPr="00E850D0" w:rsidRDefault="00E850D0" w:rsidP="00D70B4F">
      <w:pPr>
        <w:ind w:firstLine="720"/>
        <w:rPr>
          <w:rFonts w:cs="Arial"/>
          <w:szCs w:val="24"/>
        </w:rPr>
      </w:pPr>
      <w:r w:rsidRPr="00E850D0">
        <w:rPr>
          <w:rFonts w:cs="Arial"/>
          <w:szCs w:val="24"/>
        </w:rPr>
        <w:t>Repairing the structure and exterior of the property</w:t>
      </w:r>
      <w:r w:rsidR="00F44DD5">
        <w:rPr>
          <w:rFonts w:cs="Arial"/>
          <w:szCs w:val="24"/>
        </w:rPr>
        <w:t>:</w:t>
      </w:r>
    </w:p>
    <w:p w14:paraId="51071E21" w14:textId="7BE669BD" w:rsidR="00E850D0" w:rsidRPr="00196D65" w:rsidRDefault="00E850D0" w:rsidP="00D70B4F">
      <w:pPr>
        <w:pStyle w:val="ListParagraph"/>
        <w:autoSpaceDE w:val="0"/>
        <w:autoSpaceDN w:val="0"/>
        <w:spacing w:after="0" w:line="280" w:lineRule="exact"/>
        <w:contextualSpacing w:val="0"/>
        <w:jc w:val="both"/>
        <w:rPr>
          <w:rFonts w:cs="Arial"/>
          <w:szCs w:val="24"/>
        </w:rPr>
      </w:pPr>
      <w:r w:rsidRPr="00196D65">
        <w:rPr>
          <w:rFonts w:cs="Arial"/>
          <w:szCs w:val="24"/>
          <w:lang w:val="en-US"/>
        </w:rPr>
        <w:t xml:space="preserve">We will keep in repair the structure and exterior of the property (including drains, </w:t>
      </w:r>
      <w:r w:rsidR="00D70B4F" w:rsidRPr="00196D65">
        <w:rPr>
          <w:rFonts w:cs="Arial"/>
          <w:szCs w:val="24"/>
          <w:lang w:val="en-US"/>
        </w:rPr>
        <w:t>gutters,</w:t>
      </w:r>
      <w:r w:rsidRPr="00196D65">
        <w:rPr>
          <w:rFonts w:cs="Arial"/>
          <w:szCs w:val="24"/>
          <w:lang w:val="en-US"/>
        </w:rPr>
        <w:t xml:space="preserve"> and external pipes). </w:t>
      </w:r>
      <w:r w:rsidRPr="00196D65">
        <w:rPr>
          <w:rFonts w:cs="Arial"/>
          <w:szCs w:val="24"/>
        </w:rPr>
        <w:t>For the avoidance of doubt</w:t>
      </w:r>
      <w:r w:rsidR="00D70B4F">
        <w:rPr>
          <w:rFonts w:cs="Arial"/>
          <w:szCs w:val="24"/>
        </w:rPr>
        <w:t>,</w:t>
      </w:r>
      <w:r w:rsidRPr="00196D65">
        <w:rPr>
          <w:rFonts w:cs="Arial"/>
          <w:szCs w:val="24"/>
        </w:rPr>
        <w:t xml:space="preserve"> the structure and exterior of the property does not include any fences or gates and the Trust is not responsible for keeping the same in repair. The Trust may </w:t>
      </w:r>
      <w:r w:rsidR="00196D65">
        <w:rPr>
          <w:rFonts w:cs="Arial"/>
          <w:szCs w:val="24"/>
        </w:rPr>
        <w:t>at</w:t>
      </w:r>
      <w:r w:rsidRPr="00196D65">
        <w:rPr>
          <w:rFonts w:cs="Arial"/>
          <w:szCs w:val="24"/>
        </w:rPr>
        <w:t xml:space="preserve"> its absolute </w:t>
      </w:r>
      <w:r w:rsidRPr="00196D65">
        <w:rPr>
          <w:rFonts w:cs="Arial"/>
          <w:szCs w:val="24"/>
        </w:rPr>
        <w:lastRenderedPageBreak/>
        <w:t xml:space="preserve">discretion carry out repairs to a fence or gate in accordance with its policy in force at the time it is to be applied to this agreement. </w:t>
      </w:r>
    </w:p>
    <w:p w14:paraId="191BB4C1" w14:textId="77777777" w:rsidR="00E850D0" w:rsidRDefault="00E850D0" w:rsidP="00E850D0">
      <w:pPr>
        <w:rPr>
          <w:rFonts w:cs="Arial"/>
          <w:szCs w:val="24"/>
        </w:rPr>
      </w:pPr>
    </w:p>
    <w:p w14:paraId="4A0ED8A4" w14:textId="6C5C35AB" w:rsidR="005B7AEC" w:rsidRDefault="005B7AEC" w:rsidP="005B7AEC">
      <w:pPr>
        <w:ind w:left="720" w:hanging="720"/>
      </w:pPr>
      <w:r>
        <w:t>2.2</w:t>
      </w:r>
      <w:r>
        <w:tab/>
        <w:t>Southway do</w:t>
      </w:r>
      <w:r w:rsidR="00196D65">
        <w:t>es</w:t>
      </w:r>
      <w:r>
        <w:t xml:space="preserve"> not replace damaged fence panels. This is the </w:t>
      </w:r>
      <w:r w:rsidR="00D70B4F">
        <w:t>tenant’s</w:t>
      </w:r>
      <w:r>
        <w:t xml:space="preserve"> responsibility. However, we may secure a boundary or remove it if it is causing a health and safety risk or hazard.</w:t>
      </w:r>
    </w:p>
    <w:p w14:paraId="47297141" w14:textId="5466C80D" w:rsidR="00196D65" w:rsidRDefault="00196D65" w:rsidP="00196D65">
      <w:pPr>
        <w:ind w:left="720" w:hanging="720"/>
      </w:pPr>
      <w:r w:rsidRPr="00D25E81">
        <w:t>2.3</w:t>
      </w:r>
      <w:r w:rsidRPr="00D25E81">
        <w:tab/>
        <w:t>In certain</w:t>
      </w:r>
      <w:r w:rsidRPr="00196D65">
        <w:t xml:space="preserve"> circumstances and to enhance the appearance of a Neighbourhood, work may be carried out to resolve specific issues.  This will be as a planned programme of work. </w:t>
      </w:r>
    </w:p>
    <w:p w14:paraId="665A85DA" w14:textId="77777777" w:rsidR="008100F4" w:rsidRDefault="008100F4" w:rsidP="005B7AEC">
      <w:pPr>
        <w:ind w:left="720" w:hanging="720"/>
      </w:pPr>
    </w:p>
    <w:p w14:paraId="7741AA6B" w14:textId="3825D49B" w:rsidR="008100F4" w:rsidRPr="00196D65" w:rsidRDefault="008100F4" w:rsidP="00196D65">
      <w:pPr>
        <w:ind w:firstLine="720"/>
        <w:rPr>
          <w:b/>
          <w:bCs/>
        </w:rPr>
      </w:pPr>
      <w:r w:rsidRPr="00196D65">
        <w:rPr>
          <w:b/>
          <w:bCs/>
        </w:rPr>
        <w:t>E</w:t>
      </w:r>
      <w:r w:rsidR="00196D65" w:rsidRPr="00196D65">
        <w:rPr>
          <w:b/>
          <w:bCs/>
        </w:rPr>
        <w:t>xceptions</w:t>
      </w:r>
    </w:p>
    <w:p w14:paraId="0B84917C" w14:textId="51737C22" w:rsidR="00820807" w:rsidRDefault="00281DE9" w:rsidP="005B7AEC">
      <w:pPr>
        <w:ind w:left="720" w:hanging="720"/>
        <w:rPr>
          <w:color w:val="FFFFFF" w:themeColor="background1"/>
        </w:rPr>
      </w:pPr>
      <w:r>
        <w:t>2.</w:t>
      </w:r>
      <w:r w:rsidR="00D25E81">
        <w:t>4</w:t>
      </w:r>
      <w:r w:rsidR="005B7AEC">
        <w:tab/>
      </w:r>
      <w:r w:rsidR="003B7125">
        <w:t xml:space="preserve">The Trust </w:t>
      </w:r>
      <w:r w:rsidR="00037DA3">
        <w:t xml:space="preserve">will occasionally make an exceptional decision to provide new or replacement </w:t>
      </w:r>
      <w:r w:rsidR="003B7125">
        <w:t>boundaries</w:t>
      </w:r>
      <w:r w:rsidR="00037DA3">
        <w:t xml:space="preserve">. </w:t>
      </w:r>
      <w:r w:rsidR="007438C3">
        <w:t xml:space="preserve"> There is a process for applying for exceptional </w:t>
      </w:r>
      <w:r w:rsidR="0083473A">
        <w:t>boundary treatment which can be accessed via our website here</w:t>
      </w:r>
      <w:r w:rsidR="00820807">
        <w:t>:</w:t>
      </w:r>
      <w:r w:rsidR="005B7AEC">
        <w:t xml:space="preserve"> </w:t>
      </w:r>
      <w:hyperlink r:id="rId9" w:history="1">
        <w:r w:rsidR="00820807">
          <w:rPr>
            <w:rStyle w:val="Hyperlink"/>
          </w:rPr>
          <w:t>Gardening &amp; Fencing | Southway Housing</w:t>
        </w:r>
      </w:hyperlink>
      <w:r w:rsidR="00D70B4F">
        <w:rPr>
          <w:rStyle w:val="Hyperlink"/>
        </w:rPr>
        <w:t>.</w:t>
      </w:r>
      <w:r w:rsidR="00820807" w:rsidRPr="00374630">
        <w:rPr>
          <w:color w:val="FFFFFF" w:themeColor="background1"/>
        </w:rPr>
        <w:t xml:space="preserve"> </w:t>
      </w:r>
    </w:p>
    <w:p w14:paraId="09A74D94" w14:textId="77777777" w:rsidR="00D25E81" w:rsidRDefault="00D25E81" w:rsidP="005B7AEC">
      <w:pPr>
        <w:ind w:left="720" w:hanging="720"/>
        <w:rPr>
          <w:color w:val="FFFFFF" w:themeColor="background1"/>
        </w:rPr>
      </w:pPr>
    </w:p>
    <w:p w14:paraId="094988B3" w14:textId="3089A7FB" w:rsidR="00651F03" w:rsidRDefault="003B7125" w:rsidP="005B7AEC">
      <w:pPr>
        <w:ind w:left="720" w:hanging="720"/>
      </w:pPr>
      <w:r>
        <w:t>2.</w:t>
      </w:r>
      <w:r w:rsidR="00D25E81">
        <w:t>5</w:t>
      </w:r>
      <w:r>
        <w:tab/>
      </w:r>
      <w:r w:rsidR="0083473A">
        <w:t>Requests are reviewed on</w:t>
      </w:r>
      <w:r>
        <w:t xml:space="preserve"> </w:t>
      </w:r>
      <w:r w:rsidR="005D1DC2">
        <w:t>a case-by-case basis</w:t>
      </w:r>
      <w:r w:rsidR="00651F03">
        <w:t xml:space="preserve">. Factors such as </w:t>
      </w:r>
      <w:r w:rsidR="005D1DC2">
        <w:t xml:space="preserve">the </w:t>
      </w:r>
      <w:r w:rsidR="00820807">
        <w:t xml:space="preserve">vulnerability of </w:t>
      </w:r>
      <w:r w:rsidR="005D1DC2">
        <w:t>household</w:t>
      </w:r>
      <w:r w:rsidR="0083473A">
        <w:t xml:space="preserve"> members</w:t>
      </w:r>
      <w:r w:rsidR="005D1DC2">
        <w:t>, safety</w:t>
      </w:r>
      <w:r w:rsidR="00651F03">
        <w:t xml:space="preserve"> </w:t>
      </w:r>
      <w:r w:rsidR="00820807">
        <w:t xml:space="preserve">and </w:t>
      </w:r>
      <w:r w:rsidR="005D1DC2">
        <w:t xml:space="preserve">security and </w:t>
      </w:r>
      <w:r w:rsidR="0083473A">
        <w:t xml:space="preserve">overall </w:t>
      </w:r>
      <w:r w:rsidR="005D1DC2">
        <w:t>wellbeing</w:t>
      </w:r>
      <w:r w:rsidR="00651F03">
        <w:t xml:space="preserve"> are considered as part of this process</w:t>
      </w:r>
      <w:r w:rsidR="005D1DC2">
        <w:t xml:space="preserve">.  </w:t>
      </w:r>
    </w:p>
    <w:p w14:paraId="727EBED7" w14:textId="25DEC18E" w:rsidR="003B7125" w:rsidRDefault="005D1DC2" w:rsidP="005B7AEC">
      <w:pPr>
        <w:ind w:left="720"/>
      </w:pPr>
      <w:r>
        <w:t xml:space="preserve">Examples of </w:t>
      </w:r>
      <w:r w:rsidR="00651F03">
        <w:t>the types of circumstances that may support the request for exceptional boundary treatment</w:t>
      </w:r>
      <w:r w:rsidR="005B7AEC">
        <w:t>s</w:t>
      </w:r>
      <w:r w:rsidR="00651F03">
        <w:t xml:space="preserve"> are:</w:t>
      </w:r>
    </w:p>
    <w:p w14:paraId="1745C5D1" w14:textId="5E6999BB" w:rsidR="003B7125" w:rsidRDefault="003B7125" w:rsidP="00D25E81">
      <w:pPr>
        <w:ind w:left="1080"/>
      </w:pPr>
      <w:r>
        <w:t>(</w:t>
      </w:r>
      <w:r w:rsidR="004D6E6B">
        <w:t>a</w:t>
      </w:r>
      <w:r>
        <w:t xml:space="preserve">) The household is made up of elderly or vulnerable people, whose quality of life </w:t>
      </w:r>
      <w:r w:rsidR="004D6E6B">
        <w:t xml:space="preserve">and / or safety </w:t>
      </w:r>
      <w:r>
        <w:t>would benefit from the provision of fencing</w:t>
      </w:r>
      <w:r w:rsidR="004D6E6B">
        <w:t>.</w:t>
      </w:r>
    </w:p>
    <w:p w14:paraId="4F67F54D" w14:textId="2C280971" w:rsidR="004D6E6B" w:rsidRDefault="003B7125" w:rsidP="00D25E81">
      <w:pPr>
        <w:ind w:left="1080"/>
      </w:pPr>
      <w:r>
        <w:t>(</w:t>
      </w:r>
      <w:r w:rsidR="004D6E6B">
        <w:t>b</w:t>
      </w:r>
      <w:r>
        <w:t xml:space="preserve">) The work is required to reduce incidences of </w:t>
      </w:r>
      <w:r w:rsidR="005B7AEC">
        <w:t>anti-social</w:t>
      </w:r>
      <w:r>
        <w:t xml:space="preserve"> behaviour, in accordance with an action plan agreed by the Trust</w:t>
      </w:r>
      <w:r w:rsidR="004D6E6B">
        <w:t xml:space="preserve"> or as recommended by the Police.</w:t>
      </w:r>
    </w:p>
    <w:p w14:paraId="0828007C" w14:textId="77777777" w:rsidR="00D25E81" w:rsidRDefault="00D25E81" w:rsidP="00D25E81">
      <w:pPr>
        <w:ind w:left="1080"/>
      </w:pPr>
    </w:p>
    <w:p w14:paraId="56A225BF" w14:textId="495E7F9F" w:rsidR="00474623" w:rsidRDefault="005D1DC2" w:rsidP="004D6E6B">
      <w:pPr>
        <w:ind w:left="720" w:hanging="720"/>
      </w:pPr>
      <w:r w:rsidRPr="005B7AEC">
        <w:t>2.</w:t>
      </w:r>
      <w:r w:rsidR="00D25E81">
        <w:t>6</w:t>
      </w:r>
      <w:r w:rsidRPr="005B7AEC">
        <w:tab/>
        <w:t>The decision on whether to approve an exceptional request for boundary treatment will be carried out by a panel of three officers</w:t>
      </w:r>
      <w:r w:rsidR="004D6E6B">
        <w:t xml:space="preserve"> with a decision </w:t>
      </w:r>
      <w:r w:rsidR="00474623">
        <w:t xml:space="preserve">communicated back to the customer within </w:t>
      </w:r>
      <w:r w:rsidR="004D6E6B" w:rsidRPr="00D25E81">
        <w:rPr>
          <w:b/>
          <w:bCs/>
          <w:color w:val="000000" w:themeColor="text1"/>
          <w:u w:val="single"/>
        </w:rPr>
        <w:t>20</w:t>
      </w:r>
      <w:r w:rsidR="004D6E6B">
        <w:t xml:space="preserve"> </w:t>
      </w:r>
      <w:r w:rsidR="00474623">
        <w:t>working days.</w:t>
      </w:r>
    </w:p>
    <w:p w14:paraId="0262CFB6" w14:textId="77777777" w:rsidR="00196D65" w:rsidRDefault="00196D65" w:rsidP="007438C3">
      <w:pPr>
        <w:rPr>
          <w:b/>
          <w:bCs/>
        </w:rPr>
      </w:pPr>
    </w:p>
    <w:p w14:paraId="52F37EE6" w14:textId="1E5A1EF8" w:rsidR="004D6E6B" w:rsidRDefault="003B7125" w:rsidP="00D25E81">
      <w:pPr>
        <w:ind w:left="720" w:hanging="720"/>
        <w:rPr>
          <w:b/>
          <w:bCs/>
          <w:sz w:val="32"/>
          <w:szCs w:val="32"/>
        </w:rPr>
      </w:pPr>
      <w:r w:rsidRPr="00D25E81">
        <w:rPr>
          <w:b/>
          <w:bCs/>
          <w:sz w:val="32"/>
          <w:szCs w:val="32"/>
        </w:rPr>
        <w:t>3.</w:t>
      </w:r>
      <w:r w:rsidRPr="00D25E81">
        <w:rPr>
          <w:b/>
          <w:bCs/>
          <w:sz w:val="32"/>
          <w:szCs w:val="32"/>
        </w:rPr>
        <w:tab/>
      </w:r>
      <w:r w:rsidR="00A81CFF" w:rsidRPr="00D25E81">
        <w:rPr>
          <w:b/>
          <w:bCs/>
          <w:sz w:val="32"/>
          <w:szCs w:val="32"/>
        </w:rPr>
        <w:t xml:space="preserve">Responsibility for </w:t>
      </w:r>
      <w:r w:rsidRPr="00D25E81">
        <w:rPr>
          <w:b/>
          <w:bCs/>
          <w:sz w:val="32"/>
          <w:szCs w:val="32"/>
        </w:rPr>
        <w:t xml:space="preserve">Boundary </w:t>
      </w:r>
      <w:r w:rsidR="007438C3" w:rsidRPr="00D25E81">
        <w:rPr>
          <w:b/>
          <w:bCs/>
          <w:sz w:val="32"/>
          <w:szCs w:val="32"/>
        </w:rPr>
        <w:t>Repair</w:t>
      </w:r>
      <w:r w:rsidRPr="00D25E81">
        <w:rPr>
          <w:b/>
          <w:bCs/>
          <w:sz w:val="32"/>
          <w:szCs w:val="32"/>
        </w:rPr>
        <w:t>s</w:t>
      </w:r>
      <w:r w:rsidR="007438C3" w:rsidRPr="00D25E81">
        <w:rPr>
          <w:b/>
          <w:bCs/>
          <w:sz w:val="32"/>
          <w:szCs w:val="32"/>
        </w:rPr>
        <w:t xml:space="preserve"> and Replacement</w:t>
      </w:r>
      <w:r w:rsidRPr="00D25E81">
        <w:rPr>
          <w:b/>
          <w:bCs/>
          <w:sz w:val="32"/>
          <w:szCs w:val="32"/>
        </w:rPr>
        <w:t>s</w:t>
      </w:r>
      <w:r w:rsidR="007438C3" w:rsidRPr="00D25E81">
        <w:rPr>
          <w:b/>
          <w:bCs/>
          <w:sz w:val="32"/>
          <w:szCs w:val="32"/>
        </w:rPr>
        <w:t xml:space="preserve"> </w:t>
      </w:r>
      <w:r w:rsidR="00A81CFF" w:rsidRPr="00D25E81">
        <w:rPr>
          <w:b/>
          <w:bCs/>
          <w:sz w:val="32"/>
          <w:szCs w:val="32"/>
        </w:rPr>
        <w:t>– the Trust</w:t>
      </w:r>
    </w:p>
    <w:p w14:paraId="0A8784D2" w14:textId="77777777" w:rsidR="00D25E81" w:rsidRDefault="00D25E81" w:rsidP="009400E7">
      <w:pPr>
        <w:ind w:left="720" w:hanging="720"/>
      </w:pPr>
    </w:p>
    <w:p w14:paraId="547E1EDE" w14:textId="77777777" w:rsidR="00D25E81" w:rsidRDefault="00C82102" w:rsidP="009400E7">
      <w:pPr>
        <w:ind w:left="720" w:hanging="720"/>
      </w:pPr>
      <w:r>
        <w:t>3.1</w:t>
      </w:r>
      <w:r>
        <w:tab/>
      </w:r>
      <w:r w:rsidR="003B7125">
        <w:t>For any fencing installed by the Trust</w:t>
      </w:r>
      <w:r w:rsidR="005B7AEC">
        <w:t xml:space="preserve"> as part of an environmental improvement programme after 2007</w:t>
      </w:r>
      <w:r w:rsidR="003B7125">
        <w:t xml:space="preserve">, we will repair and maintain this in </w:t>
      </w:r>
      <w:r w:rsidR="003B7125">
        <w:lastRenderedPageBreak/>
        <w:t>accordance with the Tenancy Agreemen</w:t>
      </w:r>
      <w:r>
        <w:t>t, generally as part of a planned maintenance programme</w:t>
      </w:r>
      <w:r w:rsidR="003B7125">
        <w:t xml:space="preserve">. </w:t>
      </w:r>
    </w:p>
    <w:p w14:paraId="0E9848E7" w14:textId="510620C9" w:rsidR="00196D65" w:rsidRDefault="009400E7" w:rsidP="009400E7">
      <w:pPr>
        <w:ind w:left="720" w:hanging="720"/>
      </w:pPr>
      <w:r>
        <w:t>3.2</w:t>
      </w:r>
      <w:r>
        <w:tab/>
      </w:r>
      <w:r w:rsidR="00E850D0">
        <w:t xml:space="preserve">We will keep the condition of boundaries under review and where a programme of work may </w:t>
      </w:r>
      <w:r w:rsidR="00196D65">
        <w:t xml:space="preserve">enhance a neighbourhood or provide </w:t>
      </w:r>
      <w:r>
        <w:t xml:space="preserve">an enhancement at a reasonable </w:t>
      </w:r>
      <w:r w:rsidR="00D25E81">
        <w:t>cost,</w:t>
      </w:r>
      <w:r>
        <w:t xml:space="preserve"> we </w:t>
      </w:r>
      <w:r w:rsidR="00E850D0">
        <w:t xml:space="preserve">may </w:t>
      </w:r>
      <w:r w:rsidR="00D70B4F">
        <w:t>decide</w:t>
      </w:r>
      <w:r w:rsidR="00E850D0">
        <w:t xml:space="preserve"> to carry out </w:t>
      </w:r>
      <w:r>
        <w:t>work.</w:t>
      </w:r>
    </w:p>
    <w:p w14:paraId="5A78D4FA" w14:textId="7DF56617" w:rsidR="002E39C5" w:rsidRDefault="009400E7" w:rsidP="009400E7">
      <w:pPr>
        <w:ind w:left="720" w:hanging="720"/>
      </w:pPr>
      <w:r>
        <w:t>3.3</w:t>
      </w:r>
      <w:r>
        <w:tab/>
      </w:r>
      <w:r w:rsidR="008100F4">
        <w:t xml:space="preserve">There are areas in our </w:t>
      </w:r>
      <w:r w:rsidR="00D70B4F">
        <w:t>neighbourhoods’</w:t>
      </w:r>
      <w:r w:rsidR="008100F4">
        <w:t xml:space="preserve"> where robust </w:t>
      </w:r>
      <w:r w:rsidR="00D25E81">
        <w:t>long-lasting</w:t>
      </w:r>
      <w:r w:rsidR="008100F4">
        <w:t xml:space="preserve"> </w:t>
      </w:r>
      <w:r w:rsidR="002E39C5">
        <w:t xml:space="preserve">fencing </w:t>
      </w:r>
      <w:r w:rsidR="008100F4">
        <w:t xml:space="preserve">has been </w:t>
      </w:r>
      <w:r w:rsidR="002E39C5">
        <w:t>installed by the Trust as part of an environmental improvement programme</w:t>
      </w:r>
      <w:r w:rsidR="008100F4">
        <w:t>.  The overall condition of this fencing will</w:t>
      </w:r>
      <w:r w:rsidR="00D25E81">
        <w:t xml:space="preserve"> be</w:t>
      </w:r>
      <w:r w:rsidR="008100F4">
        <w:t xml:space="preserve"> monitored</w:t>
      </w:r>
      <w:r w:rsidR="00196D65">
        <w:t>,</w:t>
      </w:r>
      <w:r w:rsidR="008100F4">
        <w:t xml:space="preserve"> and maintained as part of future similar programmes, </w:t>
      </w:r>
      <w:r w:rsidR="00E850D0">
        <w:t>planned environmental improvement programme.</w:t>
      </w:r>
    </w:p>
    <w:p w14:paraId="292F5932" w14:textId="77777777" w:rsidR="00D25E81" w:rsidRDefault="00D25E81" w:rsidP="009400E7">
      <w:pPr>
        <w:ind w:left="720" w:hanging="720"/>
      </w:pPr>
    </w:p>
    <w:p w14:paraId="02443A99" w14:textId="6E7004E6" w:rsidR="00A944E7" w:rsidRPr="00D25E81" w:rsidRDefault="00C82102" w:rsidP="00196D65">
      <w:pPr>
        <w:ind w:left="720" w:hanging="720"/>
        <w:rPr>
          <w:b/>
          <w:bCs/>
          <w:sz w:val="32"/>
          <w:szCs w:val="32"/>
        </w:rPr>
      </w:pPr>
      <w:r w:rsidRPr="00D25E81">
        <w:rPr>
          <w:b/>
          <w:bCs/>
          <w:sz w:val="32"/>
          <w:szCs w:val="32"/>
        </w:rPr>
        <w:t>4</w:t>
      </w:r>
      <w:r w:rsidR="003B7125" w:rsidRPr="00D25E81">
        <w:rPr>
          <w:b/>
          <w:bCs/>
          <w:sz w:val="32"/>
          <w:szCs w:val="32"/>
        </w:rPr>
        <w:t>.</w:t>
      </w:r>
      <w:r w:rsidR="003B7125" w:rsidRPr="00D25E81">
        <w:rPr>
          <w:b/>
          <w:bCs/>
          <w:sz w:val="32"/>
          <w:szCs w:val="32"/>
        </w:rPr>
        <w:tab/>
      </w:r>
      <w:r w:rsidR="00A944E7" w:rsidRPr="00D25E81">
        <w:rPr>
          <w:b/>
          <w:bCs/>
          <w:sz w:val="32"/>
          <w:szCs w:val="32"/>
        </w:rPr>
        <w:t xml:space="preserve">Service Standards </w:t>
      </w:r>
    </w:p>
    <w:p w14:paraId="281A281A" w14:textId="2EA3F6B8" w:rsidR="003B7125" w:rsidRDefault="00C82102" w:rsidP="004D6E6B">
      <w:pPr>
        <w:ind w:left="720" w:hanging="720"/>
      </w:pPr>
      <w:r>
        <w:t>4</w:t>
      </w:r>
      <w:r w:rsidR="00A944E7">
        <w:t xml:space="preserve">.1 </w:t>
      </w:r>
      <w:r w:rsidR="004D6E6B">
        <w:tab/>
      </w:r>
      <w:r w:rsidR="003B7125">
        <w:t>Where we agree to repair a boundary the customer will be advised of the timescales within which this work will be carried out.</w:t>
      </w:r>
    </w:p>
    <w:p w14:paraId="6018A0FD" w14:textId="2F0A43CE" w:rsidR="00AC6581" w:rsidRDefault="00C82102" w:rsidP="004D6E6B">
      <w:pPr>
        <w:ind w:left="720" w:hanging="720"/>
      </w:pPr>
      <w:r>
        <w:t>4</w:t>
      </w:r>
      <w:r w:rsidR="004D6E6B">
        <w:t>.2</w:t>
      </w:r>
      <w:r w:rsidR="004D6E6B">
        <w:tab/>
      </w:r>
      <w:r w:rsidR="00AC6581">
        <w:t xml:space="preserve">In deciding on the type of boundary to be installed the Trust will take into consideration neighbouring boundaries, so that works are in keeping as far as is reasonably possible with their surrounds. </w:t>
      </w:r>
    </w:p>
    <w:p w14:paraId="7A4D6AB4" w14:textId="77777777" w:rsidR="00D25E81" w:rsidRDefault="00A944E7" w:rsidP="004D6E6B">
      <w:pPr>
        <w:ind w:firstLine="720"/>
      </w:pPr>
      <w:r>
        <w:t>Boundary work will generally involve retaining existing hedges and privets</w:t>
      </w:r>
      <w:r w:rsidR="003B7125">
        <w:t xml:space="preserve">.  </w:t>
      </w:r>
    </w:p>
    <w:p w14:paraId="60D03D76" w14:textId="5383973A" w:rsidR="00A944E7" w:rsidRDefault="00A944E7" w:rsidP="004D6E6B">
      <w:pPr>
        <w:ind w:firstLine="720"/>
      </w:pPr>
      <w:r>
        <w:t xml:space="preserve"> </w:t>
      </w:r>
    </w:p>
    <w:p w14:paraId="1530A5FF" w14:textId="77B5C7D1" w:rsidR="00A944E7" w:rsidRPr="00D25E81" w:rsidRDefault="00C82102" w:rsidP="007438C3">
      <w:pPr>
        <w:rPr>
          <w:b/>
          <w:bCs/>
          <w:sz w:val="32"/>
          <w:szCs w:val="32"/>
        </w:rPr>
      </w:pPr>
      <w:r w:rsidRPr="00D25E81">
        <w:rPr>
          <w:b/>
          <w:bCs/>
          <w:sz w:val="32"/>
          <w:szCs w:val="32"/>
        </w:rPr>
        <w:t>5</w:t>
      </w:r>
      <w:r w:rsidR="00AC6581" w:rsidRPr="00D25E81">
        <w:rPr>
          <w:b/>
          <w:bCs/>
          <w:sz w:val="32"/>
          <w:szCs w:val="32"/>
        </w:rPr>
        <w:t>.</w:t>
      </w:r>
      <w:r w:rsidR="00AC6581" w:rsidRPr="00D25E81">
        <w:rPr>
          <w:b/>
          <w:bCs/>
          <w:sz w:val="32"/>
          <w:szCs w:val="32"/>
        </w:rPr>
        <w:tab/>
      </w:r>
      <w:r w:rsidR="00A944E7" w:rsidRPr="00D25E81">
        <w:rPr>
          <w:b/>
          <w:bCs/>
          <w:sz w:val="32"/>
          <w:szCs w:val="32"/>
        </w:rPr>
        <w:t xml:space="preserve">Permission to install fencing </w:t>
      </w:r>
    </w:p>
    <w:p w14:paraId="33BBF44B" w14:textId="38973130" w:rsidR="00A944E7" w:rsidRDefault="00C82102" w:rsidP="004D6E6B">
      <w:pPr>
        <w:ind w:left="720" w:hanging="720"/>
      </w:pPr>
      <w:r>
        <w:t>5</w:t>
      </w:r>
      <w:r w:rsidR="00A944E7">
        <w:t xml:space="preserve">.1 </w:t>
      </w:r>
      <w:r w:rsidR="00AC6581">
        <w:t xml:space="preserve"> </w:t>
      </w:r>
      <w:r w:rsidR="004D6E6B">
        <w:tab/>
      </w:r>
      <w:r w:rsidR="00AC6581">
        <w:t>If a t</w:t>
      </w:r>
      <w:r w:rsidR="00A944E7">
        <w:t xml:space="preserve">enant </w:t>
      </w:r>
      <w:r w:rsidR="00AC6581">
        <w:t xml:space="preserve">wants </w:t>
      </w:r>
      <w:r w:rsidR="00A944E7">
        <w:t>to install their own boundar</w:t>
      </w:r>
      <w:r w:rsidR="00AC6581">
        <w:t>y</w:t>
      </w:r>
      <w:r w:rsidR="004D6E6B">
        <w:t>,</w:t>
      </w:r>
      <w:r w:rsidR="00AC6581">
        <w:t xml:space="preserve"> they must </w:t>
      </w:r>
      <w:r w:rsidR="004D6E6B">
        <w:t>seek approval from Southway</w:t>
      </w:r>
      <w:r w:rsidR="00AC6581">
        <w:t xml:space="preserve">.  </w:t>
      </w:r>
      <w:r w:rsidR="00A944E7">
        <w:t xml:space="preserve"> </w:t>
      </w:r>
    </w:p>
    <w:p w14:paraId="05C625C5" w14:textId="1DDB8BEF" w:rsidR="00976458" w:rsidRDefault="00C82102" w:rsidP="004D6E6B">
      <w:pPr>
        <w:ind w:left="720" w:hanging="720"/>
      </w:pPr>
      <w:r>
        <w:t>5</w:t>
      </w:r>
      <w:r w:rsidR="00A944E7">
        <w:t xml:space="preserve">.2 </w:t>
      </w:r>
      <w:r w:rsidR="004D6E6B">
        <w:tab/>
      </w:r>
      <w:r w:rsidR="00AC6581">
        <w:t xml:space="preserve">An officer </w:t>
      </w:r>
      <w:r w:rsidR="004D6E6B">
        <w:t>will make</w:t>
      </w:r>
      <w:r w:rsidR="00AC6581">
        <w:t xml:space="preserve"> sure that any boundary</w:t>
      </w:r>
      <w:r w:rsidR="00A944E7">
        <w:t xml:space="preserve"> is installed </w:t>
      </w:r>
      <w:r w:rsidR="00AC6581">
        <w:t>on the correct</w:t>
      </w:r>
      <w:r w:rsidR="00A944E7">
        <w:t xml:space="preserve"> boundary </w:t>
      </w:r>
      <w:r w:rsidR="00D70B4F">
        <w:t>line, that</w:t>
      </w:r>
      <w:r w:rsidR="00A944E7">
        <w:t xml:space="preserve"> necessary permissions have been sought </w:t>
      </w:r>
      <w:r w:rsidR="00D70B4F">
        <w:t>where appropriate</w:t>
      </w:r>
      <w:r w:rsidR="00A944E7">
        <w:t xml:space="preserve">, and that </w:t>
      </w:r>
      <w:r w:rsidR="004D6E6B">
        <w:t>any</w:t>
      </w:r>
      <w:r w:rsidR="00A944E7">
        <w:t xml:space="preserve"> neighbours directly affected by </w:t>
      </w:r>
      <w:r w:rsidR="00AC6581">
        <w:t xml:space="preserve">the </w:t>
      </w:r>
      <w:r w:rsidR="00A944E7">
        <w:t xml:space="preserve">work have been consulted. </w:t>
      </w:r>
    </w:p>
    <w:p w14:paraId="2BFB6B72" w14:textId="4DF02BD6" w:rsidR="00976458" w:rsidRDefault="00C82102" w:rsidP="004D6E6B">
      <w:pPr>
        <w:ind w:left="720" w:hanging="720"/>
      </w:pPr>
      <w:r>
        <w:t>5</w:t>
      </w:r>
      <w:r w:rsidR="00AC6581">
        <w:t>.3</w:t>
      </w:r>
      <w:r w:rsidR="00AC6581">
        <w:tab/>
        <w:t xml:space="preserve">The Trust will not usually agree to the removal </w:t>
      </w:r>
      <w:r w:rsidR="00D70B4F">
        <w:t>of an</w:t>
      </w:r>
      <w:r w:rsidR="00A944E7">
        <w:t xml:space="preserve"> existing hedge </w:t>
      </w:r>
      <w:r w:rsidR="008A545B">
        <w:t xml:space="preserve">that is </w:t>
      </w:r>
      <w:r w:rsidR="00D70B4F">
        <w:t>in general</w:t>
      </w:r>
      <w:r w:rsidR="008A545B">
        <w:t xml:space="preserve"> good</w:t>
      </w:r>
      <w:r w:rsidR="00A944E7">
        <w:t xml:space="preserve"> condition. </w:t>
      </w:r>
    </w:p>
    <w:p w14:paraId="6351C086" w14:textId="0C41946C" w:rsidR="00A944E7" w:rsidRPr="007438C3" w:rsidRDefault="00C82102" w:rsidP="004D6E6B">
      <w:pPr>
        <w:ind w:left="720" w:hanging="720"/>
        <w:rPr>
          <w:highlight w:val="red"/>
        </w:rPr>
      </w:pPr>
      <w:r>
        <w:t>5</w:t>
      </w:r>
      <w:r w:rsidR="00F34DAA">
        <w:t>.</w:t>
      </w:r>
      <w:r w:rsidR="00AC6581">
        <w:t>4</w:t>
      </w:r>
      <w:r w:rsidR="00A944E7">
        <w:t xml:space="preserve"> </w:t>
      </w:r>
      <w:r w:rsidR="004D6E6B">
        <w:tab/>
      </w:r>
      <w:r w:rsidR="00A944E7">
        <w:t xml:space="preserve">If a tenant receives permission from </w:t>
      </w:r>
      <w:r w:rsidR="004D6E6B">
        <w:t xml:space="preserve">Southway </w:t>
      </w:r>
      <w:r w:rsidR="00A944E7">
        <w:t xml:space="preserve">to </w:t>
      </w:r>
      <w:r w:rsidR="00976458">
        <w:t>install a boundary</w:t>
      </w:r>
      <w:r w:rsidR="00A944E7">
        <w:t>, the</w:t>
      </w:r>
      <w:r w:rsidR="00374630">
        <w:t xml:space="preserve">y will </w:t>
      </w:r>
      <w:r w:rsidR="00D70B4F">
        <w:t>be responsible</w:t>
      </w:r>
      <w:r w:rsidR="00A944E7">
        <w:t xml:space="preserve"> for its upkeep and </w:t>
      </w:r>
      <w:r w:rsidR="00374630">
        <w:t xml:space="preserve">any future </w:t>
      </w:r>
      <w:r w:rsidR="00A944E7">
        <w:t>replacement</w:t>
      </w:r>
      <w:r w:rsidR="00374630">
        <w:t>s.</w:t>
      </w:r>
    </w:p>
    <w:sectPr w:rsidR="00A944E7" w:rsidRPr="00743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CF6"/>
    <w:multiLevelType w:val="hybridMultilevel"/>
    <w:tmpl w:val="A908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C2A75"/>
    <w:multiLevelType w:val="multilevel"/>
    <w:tmpl w:val="1A8E24E0"/>
    <w:lvl w:ilvl="0">
      <w:start w:val="2"/>
      <w:numFmt w:val="decimal"/>
      <w:lvlText w:val="%1"/>
      <w:lvlJc w:val="left"/>
      <w:pPr>
        <w:ind w:left="360" w:hanging="360"/>
      </w:pPr>
      <w:rPr>
        <w:rFonts w:hint="default"/>
        <w:color w:val="71CBD2"/>
      </w:rPr>
    </w:lvl>
    <w:lvl w:ilvl="1">
      <w:start w:val="3"/>
      <w:numFmt w:val="decimal"/>
      <w:lvlText w:val="%1.%2"/>
      <w:lvlJc w:val="left"/>
      <w:pPr>
        <w:ind w:left="720" w:hanging="360"/>
      </w:pPr>
      <w:rPr>
        <w:rFonts w:hint="default"/>
        <w:color w:val="71CBD2"/>
      </w:rPr>
    </w:lvl>
    <w:lvl w:ilvl="2">
      <w:start w:val="1"/>
      <w:numFmt w:val="decimal"/>
      <w:lvlText w:val="%1.%2.%3"/>
      <w:lvlJc w:val="left"/>
      <w:pPr>
        <w:ind w:left="1440" w:hanging="720"/>
      </w:pPr>
      <w:rPr>
        <w:rFonts w:hint="default"/>
        <w:color w:val="71CBD2"/>
      </w:rPr>
    </w:lvl>
    <w:lvl w:ilvl="3">
      <w:start w:val="1"/>
      <w:numFmt w:val="decimal"/>
      <w:lvlText w:val="%1.%2.%3.%4"/>
      <w:lvlJc w:val="left"/>
      <w:pPr>
        <w:ind w:left="2160" w:hanging="1080"/>
      </w:pPr>
      <w:rPr>
        <w:rFonts w:hint="default"/>
        <w:color w:val="71CBD2"/>
      </w:rPr>
    </w:lvl>
    <w:lvl w:ilvl="4">
      <w:start w:val="1"/>
      <w:numFmt w:val="decimal"/>
      <w:lvlText w:val="%1.%2.%3.%4.%5"/>
      <w:lvlJc w:val="left"/>
      <w:pPr>
        <w:ind w:left="2520" w:hanging="1080"/>
      </w:pPr>
      <w:rPr>
        <w:rFonts w:hint="default"/>
        <w:color w:val="71CBD2"/>
      </w:rPr>
    </w:lvl>
    <w:lvl w:ilvl="5">
      <w:start w:val="1"/>
      <w:numFmt w:val="decimal"/>
      <w:lvlText w:val="%1.%2.%3.%4.%5.%6"/>
      <w:lvlJc w:val="left"/>
      <w:pPr>
        <w:ind w:left="3240" w:hanging="1440"/>
      </w:pPr>
      <w:rPr>
        <w:rFonts w:hint="default"/>
        <w:color w:val="71CBD2"/>
      </w:rPr>
    </w:lvl>
    <w:lvl w:ilvl="6">
      <w:start w:val="1"/>
      <w:numFmt w:val="decimal"/>
      <w:lvlText w:val="%1.%2.%3.%4.%5.%6.%7"/>
      <w:lvlJc w:val="left"/>
      <w:pPr>
        <w:ind w:left="3600" w:hanging="1440"/>
      </w:pPr>
      <w:rPr>
        <w:rFonts w:hint="default"/>
        <w:color w:val="71CBD2"/>
      </w:rPr>
    </w:lvl>
    <w:lvl w:ilvl="7">
      <w:start w:val="1"/>
      <w:numFmt w:val="decimal"/>
      <w:lvlText w:val="%1.%2.%3.%4.%5.%6.%7.%8"/>
      <w:lvlJc w:val="left"/>
      <w:pPr>
        <w:ind w:left="4320" w:hanging="1800"/>
      </w:pPr>
      <w:rPr>
        <w:rFonts w:hint="default"/>
        <w:color w:val="71CBD2"/>
      </w:rPr>
    </w:lvl>
    <w:lvl w:ilvl="8">
      <w:start w:val="1"/>
      <w:numFmt w:val="decimal"/>
      <w:lvlText w:val="%1.%2.%3.%4.%5.%6.%7.%8.%9"/>
      <w:lvlJc w:val="left"/>
      <w:pPr>
        <w:ind w:left="4680" w:hanging="1800"/>
      </w:pPr>
      <w:rPr>
        <w:rFonts w:hint="default"/>
        <w:color w:val="71CBD2"/>
      </w:rPr>
    </w:lvl>
  </w:abstractNum>
  <w:abstractNum w:abstractNumId="2" w15:restartNumberingAfterBreak="0">
    <w:nsid w:val="06035B5D"/>
    <w:multiLevelType w:val="hybridMultilevel"/>
    <w:tmpl w:val="BC000022"/>
    <w:lvl w:ilvl="0" w:tplc="802E0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1154D"/>
    <w:multiLevelType w:val="multilevel"/>
    <w:tmpl w:val="A7DC3622"/>
    <w:lvl w:ilvl="0">
      <w:start w:val="2"/>
      <w:numFmt w:val="decimal"/>
      <w:lvlText w:val="%1"/>
      <w:lvlJc w:val="left"/>
      <w:pPr>
        <w:ind w:left="360" w:hanging="360"/>
      </w:pPr>
      <w:rPr>
        <w:rFonts w:hint="default"/>
        <w:color w:val="71CBD2"/>
      </w:rPr>
    </w:lvl>
    <w:lvl w:ilvl="1">
      <w:start w:val="3"/>
      <w:numFmt w:val="decimal"/>
      <w:lvlText w:val="%1.%2"/>
      <w:lvlJc w:val="left"/>
      <w:pPr>
        <w:ind w:left="720" w:hanging="360"/>
      </w:pPr>
      <w:rPr>
        <w:rFonts w:hint="default"/>
        <w:color w:val="71CBD2"/>
      </w:rPr>
    </w:lvl>
    <w:lvl w:ilvl="2">
      <w:start w:val="1"/>
      <w:numFmt w:val="decimal"/>
      <w:lvlText w:val="%1.%2.%3"/>
      <w:lvlJc w:val="left"/>
      <w:pPr>
        <w:ind w:left="1440" w:hanging="720"/>
      </w:pPr>
      <w:rPr>
        <w:rFonts w:hint="default"/>
        <w:color w:val="71CBD2"/>
      </w:rPr>
    </w:lvl>
    <w:lvl w:ilvl="3">
      <w:start w:val="1"/>
      <w:numFmt w:val="decimal"/>
      <w:lvlText w:val="%1.%2.%3.%4"/>
      <w:lvlJc w:val="left"/>
      <w:pPr>
        <w:ind w:left="2160" w:hanging="1080"/>
      </w:pPr>
      <w:rPr>
        <w:rFonts w:hint="default"/>
        <w:color w:val="71CBD2"/>
      </w:rPr>
    </w:lvl>
    <w:lvl w:ilvl="4">
      <w:start w:val="1"/>
      <w:numFmt w:val="decimal"/>
      <w:lvlText w:val="%1.%2.%3.%4.%5"/>
      <w:lvlJc w:val="left"/>
      <w:pPr>
        <w:ind w:left="2520" w:hanging="1080"/>
      </w:pPr>
      <w:rPr>
        <w:rFonts w:hint="default"/>
        <w:color w:val="71CBD2"/>
      </w:rPr>
    </w:lvl>
    <w:lvl w:ilvl="5">
      <w:start w:val="1"/>
      <w:numFmt w:val="decimal"/>
      <w:lvlText w:val="%1.%2.%3.%4.%5.%6"/>
      <w:lvlJc w:val="left"/>
      <w:pPr>
        <w:ind w:left="3240" w:hanging="1440"/>
      </w:pPr>
      <w:rPr>
        <w:rFonts w:hint="default"/>
        <w:color w:val="71CBD2"/>
      </w:rPr>
    </w:lvl>
    <w:lvl w:ilvl="6">
      <w:start w:val="1"/>
      <w:numFmt w:val="decimal"/>
      <w:lvlText w:val="%1.%2.%3.%4.%5.%6.%7"/>
      <w:lvlJc w:val="left"/>
      <w:pPr>
        <w:ind w:left="3600" w:hanging="1440"/>
      </w:pPr>
      <w:rPr>
        <w:rFonts w:hint="default"/>
        <w:color w:val="71CBD2"/>
      </w:rPr>
    </w:lvl>
    <w:lvl w:ilvl="7">
      <w:start w:val="1"/>
      <w:numFmt w:val="decimal"/>
      <w:lvlText w:val="%1.%2.%3.%4.%5.%6.%7.%8"/>
      <w:lvlJc w:val="left"/>
      <w:pPr>
        <w:ind w:left="4320" w:hanging="1800"/>
      </w:pPr>
      <w:rPr>
        <w:rFonts w:hint="default"/>
        <w:color w:val="71CBD2"/>
      </w:rPr>
    </w:lvl>
    <w:lvl w:ilvl="8">
      <w:start w:val="1"/>
      <w:numFmt w:val="decimal"/>
      <w:lvlText w:val="%1.%2.%3.%4.%5.%6.%7.%8.%9"/>
      <w:lvlJc w:val="left"/>
      <w:pPr>
        <w:ind w:left="4680" w:hanging="1800"/>
      </w:pPr>
      <w:rPr>
        <w:rFonts w:hint="default"/>
        <w:color w:val="71CBD2"/>
      </w:rPr>
    </w:lvl>
  </w:abstractNum>
  <w:abstractNum w:abstractNumId="4" w15:restartNumberingAfterBreak="0">
    <w:nsid w:val="33EC0FA4"/>
    <w:multiLevelType w:val="multilevel"/>
    <w:tmpl w:val="912CCB42"/>
    <w:lvl w:ilvl="0">
      <w:start w:val="2"/>
      <w:numFmt w:val="decimal"/>
      <w:lvlText w:val="%1"/>
      <w:lvlJc w:val="left"/>
      <w:pPr>
        <w:ind w:left="360" w:hanging="360"/>
      </w:pPr>
    </w:lvl>
    <w:lvl w:ilvl="1">
      <w:start w:val="3"/>
      <w:numFmt w:val="decimal"/>
      <w:lvlText w:val="%1.%2"/>
      <w:lvlJc w:val="left"/>
      <w:pPr>
        <w:ind w:left="984" w:hanging="360"/>
      </w:pPr>
    </w:lvl>
    <w:lvl w:ilvl="2">
      <w:start w:val="1"/>
      <w:numFmt w:val="decimal"/>
      <w:lvlText w:val="%1.%2.%3"/>
      <w:lvlJc w:val="left"/>
      <w:pPr>
        <w:ind w:left="1968" w:hanging="720"/>
      </w:pPr>
    </w:lvl>
    <w:lvl w:ilvl="3">
      <w:start w:val="1"/>
      <w:numFmt w:val="decimal"/>
      <w:lvlText w:val="%1.%2.%3.%4"/>
      <w:lvlJc w:val="left"/>
      <w:pPr>
        <w:ind w:left="2592" w:hanging="720"/>
      </w:pPr>
    </w:lvl>
    <w:lvl w:ilvl="4">
      <w:start w:val="1"/>
      <w:numFmt w:val="decimal"/>
      <w:lvlText w:val="%1.%2.%3.%4.%5"/>
      <w:lvlJc w:val="left"/>
      <w:pPr>
        <w:ind w:left="3216" w:hanging="720"/>
      </w:pPr>
    </w:lvl>
    <w:lvl w:ilvl="5">
      <w:start w:val="1"/>
      <w:numFmt w:val="decimal"/>
      <w:lvlText w:val="%1.%2.%3.%4.%5.%6"/>
      <w:lvlJc w:val="left"/>
      <w:pPr>
        <w:ind w:left="4200" w:hanging="1080"/>
      </w:pPr>
    </w:lvl>
    <w:lvl w:ilvl="6">
      <w:start w:val="1"/>
      <w:numFmt w:val="decimal"/>
      <w:lvlText w:val="%1.%2.%3.%4.%5.%6.%7"/>
      <w:lvlJc w:val="left"/>
      <w:pPr>
        <w:ind w:left="4824" w:hanging="1080"/>
      </w:pPr>
    </w:lvl>
    <w:lvl w:ilvl="7">
      <w:start w:val="1"/>
      <w:numFmt w:val="decimal"/>
      <w:lvlText w:val="%1.%2.%3.%4.%5.%6.%7.%8"/>
      <w:lvlJc w:val="left"/>
      <w:pPr>
        <w:ind w:left="5808" w:hanging="1440"/>
      </w:pPr>
    </w:lvl>
    <w:lvl w:ilvl="8">
      <w:start w:val="1"/>
      <w:numFmt w:val="decimal"/>
      <w:lvlText w:val="%1.%2.%3.%4.%5.%6.%7.%8.%9"/>
      <w:lvlJc w:val="left"/>
      <w:pPr>
        <w:ind w:left="6432" w:hanging="1440"/>
      </w:pPr>
    </w:lvl>
  </w:abstractNum>
  <w:abstractNum w:abstractNumId="5" w15:restartNumberingAfterBreak="0">
    <w:nsid w:val="441E7F93"/>
    <w:multiLevelType w:val="hybridMultilevel"/>
    <w:tmpl w:val="D97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D498C"/>
    <w:multiLevelType w:val="hybridMultilevel"/>
    <w:tmpl w:val="930EF416"/>
    <w:lvl w:ilvl="0" w:tplc="369C8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D2B34"/>
    <w:multiLevelType w:val="multilevel"/>
    <w:tmpl w:val="344210F2"/>
    <w:lvl w:ilvl="0">
      <w:start w:val="2"/>
      <w:numFmt w:val="decimal"/>
      <w:lvlText w:val="%1"/>
      <w:lvlJc w:val="left"/>
      <w:pPr>
        <w:ind w:left="375" w:hanging="375"/>
      </w:pPr>
      <w:rPr>
        <w:color w:val="71CBD2"/>
        <w:w w:val="125"/>
      </w:rPr>
    </w:lvl>
    <w:lvl w:ilvl="1">
      <w:start w:val="3"/>
      <w:numFmt w:val="decimal"/>
      <w:lvlText w:val="%1.%2"/>
      <w:lvlJc w:val="left"/>
      <w:pPr>
        <w:ind w:left="3945" w:hanging="375"/>
      </w:pPr>
      <w:rPr>
        <w:color w:val="71CBD2"/>
        <w:w w:val="125"/>
      </w:rPr>
    </w:lvl>
    <w:lvl w:ilvl="2">
      <w:start w:val="1"/>
      <w:numFmt w:val="decimal"/>
      <w:lvlText w:val="%1.%2.%3"/>
      <w:lvlJc w:val="left"/>
      <w:pPr>
        <w:ind w:left="7860" w:hanging="720"/>
      </w:pPr>
      <w:rPr>
        <w:color w:val="71CBD2"/>
        <w:w w:val="125"/>
      </w:rPr>
    </w:lvl>
    <w:lvl w:ilvl="3">
      <w:start w:val="1"/>
      <w:numFmt w:val="decimal"/>
      <w:lvlText w:val="%1.%2.%3.%4"/>
      <w:lvlJc w:val="left"/>
      <w:pPr>
        <w:ind w:left="11430" w:hanging="720"/>
      </w:pPr>
      <w:rPr>
        <w:color w:val="71CBD2"/>
        <w:w w:val="125"/>
      </w:rPr>
    </w:lvl>
    <w:lvl w:ilvl="4">
      <w:start w:val="1"/>
      <w:numFmt w:val="decimal"/>
      <w:lvlText w:val="%1.%2.%3.%4.%5"/>
      <w:lvlJc w:val="left"/>
      <w:pPr>
        <w:ind w:left="15360" w:hanging="1080"/>
      </w:pPr>
      <w:rPr>
        <w:color w:val="71CBD2"/>
        <w:w w:val="125"/>
      </w:rPr>
    </w:lvl>
    <w:lvl w:ilvl="5">
      <w:start w:val="1"/>
      <w:numFmt w:val="decimal"/>
      <w:lvlText w:val="%1.%2.%3.%4.%5.%6"/>
      <w:lvlJc w:val="left"/>
      <w:pPr>
        <w:ind w:left="18930" w:hanging="1080"/>
      </w:pPr>
      <w:rPr>
        <w:color w:val="71CBD2"/>
        <w:w w:val="125"/>
      </w:rPr>
    </w:lvl>
    <w:lvl w:ilvl="6">
      <w:start w:val="1"/>
      <w:numFmt w:val="decimal"/>
      <w:lvlText w:val="%1.%2.%3.%4.%5.%6.%7"/>
      <w:lvlJc w:val="left"/>
      <w:pPr>
        <w:ind w:left="22860" w:hanging="1440"/>
      </w:pPr>
      <w:rPr>
        <w:color w:val="71CBD2"/>
        <w:w w:val="125"/>
      </w:rPr>
    </w:lvl>
    <w:lvl w:ilvl="7">
      <w:start w:val="1"/>
      <w:numFmt w:val="decimal"/>
      <w:lvlText w:val="%1.%2.%3.%4.%5.%6.%7.%8"/>
      <w:lvlJc w:val="left"/>
      <w:pPr>
        <w:ind w:left="26430" w:hanging="1440"/>
      </w:pPr>
      <w:rPr>
        <w:color w:val="71CBD2"/>
        <w:w w:val="125"/>
      </w:rPr>
    </w:lvl>
    <w:lvl w:ilvl="8">
      <w:start w:val="1"/>
      <w:numFmt w:val="decimal"/>
      <w:lvlText w:val="%1.%2.%3.%4.%5.%6.%7.%8.%9"/>
      <w:lvlJc w:val="left"/>
      <w:pPr>
        <w:ind w:left="30360" w:hanging="1800"/>
      </w:pPr>
      <w:rPr>
        <w:color w:val="71CBD2"/>
        <w:w w:val="125"/>
      </w:rPr>
    </w:lvl>
  </w:abstractNum>
  <w:abstractNum w:abstractNumId="8" w15:restartNumberingAfterBreak="0">
    <w:nsid w:val="73095F5A"/>
    <w:multiLevelType w:val="hybridMultilevel"/>
    <w:tmpl w:val="71FC67DC"/>
    <w:lvl w:ilvl="0" w:tplc="94AADF6A">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8B09F1"/>
    <w:multiLevelType w:val="hybridMultilevel"/>
    <w:tmpl w:val="139E0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783124">
    <w:abstractNumId w:val="2"/>
  </w:num>
  <w:num w:numId="2" w16cid:durableId="1252929126">
    <w:abstractNumId w:val="5"/>
  </w:num>
  <w:num w:numId="3" w16cid:durableId="337273088">
    <w:abstractNumId w:val="6"/>
  </w:num>
  <w:num w:numId="4" w16cid:durableId="1365329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76648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68041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463979">
    <w:abstractNumId w:val="1"/>
  </w:num>
  <w:num w:numId="8" w16cid:durableId="383023670">
    <w:abstractNumId w:val="3"/>
  </w:num>
  <w:num w:numId="9" w16cid:durableId="804740677">
    <w:abstractNumId w:val="0"/>
  </w:num>
  <w:num w:numId="10" w16cid:durableId="1250504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4C"/>
    <w:rsid w:val="00017A4D"/>
    <w:rsid w:val="00037DA3"/>
    <w:rsid w:val="000F0080"/>
    <w:rsid w:val="0017614C"/>
    <w:rsid w:val="00196D65"/>
    <w:rsid w:val="00281DE9"/>
    <w:rsid w:val="002977C3"/>
    <w:rsid w:val="002E14C9"/>
    <w:rsid w:val="002E39C5"/>
    <w:rsid w:val="002F7262"/>
    <w:rsid w:val="00374630"/>
    <w:rsid w:val="003804ED"/>
    <w:rsid w:val="003B7125"/>
    <w:rsid w:val="00474623"/>
    <w:rsid w:val="004D6E6B"/>
    <w:rsid w:val="005B7AEC"/>
    <w:rsid w:val="005D1DC2"/>
    <w:rsid w:val="00651F03"/>
    <w:rsid w:val="007438C3"/>
    <w:rsid w:val="007F64F8"/>
    <w:rsid w:val="008100F4"/>
    <w:rsid w:val="00820807"/>
    <w:rsid w:val="0083473A"/>
    <w:rsid w:val="00867E9D"/>
    <w:rsid w:val="008A545B"/>
    <w:rsid w:val="008F1AE9"/>
    <w:rsid w:val="00927A38"/>
    <w:rsid w:val="009400E7"/>
    <w:rsid w:val="00976458"/>
    <w:rsid w:val="00A74055"/>
    <w:rsid w:val="00A81CFF"/>
    <w:rsid w:val="00A944E7"/>
    <w:rsid w:val="00AC6581"/>
    <w:rsid w:val="00B744E6"/>
    <w:rsid w:val="00C82102"/>
    <w:rsid w:val="00C9184F"/>
    <w:rsid w:val="00D25E81"/>
    <w:rsid w:val="00D70B4F"/>
    <w:rsid w:val="00DA1B34"/>
    <w:rsid w:val="00E850D0"/>
    <w:rsid w:val="00F34DAA"/>
    <w:rsid w:val="00F44DD5"/>
    <w:rsid w:val="00FD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61A3"/>
  <w15:chartTrackingRefBased/>
  <w15:docId w15:val="{E46165BE-22AF-4EDD-81CD-D62415A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semiHidden/>
    <w:unhideWhenUsed/>
    <w:qFormat/>
    <w:rsid w:val="00E850D0"/>
    <w:pPr>
      <w:autoSpaceDE w:val="0"/>
      <w:autoSpaceDN w:val="0"/>
      <w:spacing w:after="0" w:line="240" w:lineRule="auto"/>
      <w:ind w:left="40"/>
      <w:outlineLvl w:val="3"/>
    </w:pPr>
    <w:rPr>
      <w:rFonts w:ascii="Calibri" w:hAnsi="Calibri" w:cs="Calibri"/>
      <w:b/>
      <w:bCs/>
      <w:szCs w:val="24"/>
    </w:rPr>
  </w:style>
  <w:style w:type="paragraph" w:styleId="Heading5">
    <w:name w:val="heading 5"/>
    <w:basedOn w:val="Normal"/>
    <w:link w:val="Heading5Char"/>
    <w:uiPriority w:val="9"/>
    <w:semiHidden/>
    <w:unhideWhenUsed/>
    <w:qFormat/>
    <w:rsid w:val="00E850D0"/>
    <w:pPr>
      <w:keepNext/>
      <w:spacing w:before="40" w:after="0" w:line="240" w:lineRule="auto"/>
      <w:outlineLvl w:val="4"/>
    </w:pPr>
    <w:rPr>
      <w:rFonts w:ascii="Calibri Light" w:hAnsi="Calibri Light" w:cs="Calibri Light"/>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38C3"/>
    <w:pPr>
      <w:ind w:left="720"/>
      <w:contextualSpacing/>
    </w:pPr>
  </w:style>
  <w:style w:type="paragraph" w:styleId="Revision">
    <w:name w:val="Revision"/>
    <w:hidden/>
    <w:uiPriority w:val="99"/>
    <w:semiHidden/>
    <w:rsid w:val="00281DE9"/>
    <w:pPr>
      <w:spacing w:after="0" w:line="240" w:lineRule="auto"/>
    </w:pPr>
  </w:style>
  <w:style w:type="character" w:styleId="CommentReference">
    <w:name w:val="annotation reference"/>
    <w:basedOn w:val="DefaultParagraphFont"/>
    <w:uiPriority w:val="99"/>
    <w:semiHidden/>
    <w:unhideWhenUsed/>
    <w:rsid w:val="00867E9D"/>
    <w:rPr>
      <w:sz w:val="16"/>
      <w:szCs w:val="16"/>
    </w:rPr>
  </w:style>
  <w:style w:type="paragraph" w:styleId="CommentText">
    <w:name w:val="annotation text"/>
    <w:basedOn w:val="Normal"/>
    <w:link w:val="CommentTextChar"/>
    <w:uiPriority w:val="99"/>
    <w:unhideWhenUsed/>
    <w:rsid w:val="00867E9D"/>
    <w:pPr>
      <w:spacing w:line="240" w:lineRule="auto"/>
    </w:pPr>
    <w:rPr>
      <w:sz w:val="20"/>
      <w:szCs w:val="20"/>
    </w:rPr>
  </w:style>
  <w:style w:type="character" w:customStyle="1" w:styleId="CommentTextChar">
    <w:name w:val="Comment Text Char"/>
    <w:basedOn w:val="DefaultParagraphFont"/>
    <w:link w:val="CommentText"/>
    <w:uiPriority w:val="99"/>
    <w:rsid w:val="00867E9D"/>
    <w:rPr>
      <w:sz w:val="20"/>
      <w:szCs w:val="20"/>
    </w:rPr>
  </w:style>
  <w:style w:type="paragraph" w:styleId="CommentSubject">
    <w:name w:val="annotation subject"/>
    <w:basedOn w:val="CommentText"/>
    <w:next w:val="CommentText"/>
    <w:link w:val="CommentSubjectChar"/>
    <w:uiPriority w:val="99"/>
    <w:semiHidden/>
    <w:unhideWhenUsed/>
    <w:rsid w:val="00867E9D"/>
    <w:rPr>
      <w:b/>
      <w:bCs/>
    </w:rPr>
  </w:style>
  <w:style w:type="character" w:customStyle="1" w:styleId="CommentSubjectChar">
    <w:name w:val="Comment Subject Char"/>
    <w:basedOn w:val="CommentTextChar"/>
    <w:link w:val="CommentSubject"/>
    <w:uiPriority w:val="99"/>
    <w:semiHidden/>
    <w:rsid w:val="00867E9D"/>
    <w:rPr>
      <w:b/>
      <w:bCs/>
      <w:sz w:val="20"/>
      <w:szCs w:val="20"/>
    </w:rPr>
  </w:style>
  <w:style w:type="character" w:styleId="Hyperlink">
    <w:name w:val="Hyperlink"/>
    <w:basedOn w:val="DefaultParagraphFont"/>
    <w:uiPriority w:val="99"/>
    <w:semiHidden/>
    <w:unhideWhenUsed/>
    <w:rsid w:val="00820807"/>
    <w:rPr>
      <w:color w:val="0000FF"/>
      <w:u w:val="single"/>
    </w:rPr>
  </w:style>
  <w:style w:type="character" w:customStyle="1" w:styleId="Heading4Char">
    <w:name w:val="Heading 4 Char"/>
    <w:basedOn w:val="DefaultParagraphFont"/>
    <w:link w:val="Heading4"/>
    <w:uiPriority w:val="1"/>
    <w:semiHidden/>
    <w:rsid w:val="00E850D0"/>
    <w:rPr>
      <w:rFonts w:ascii="Calibri" w:hAnsi="Calibri" w:cs="Calibri"/>
      <w:b/>
      <w:bCs/>
      <w:szCs w:val="24"/>
    </w:rPr>
  </w:style>
  <w:style w:type="character" w:customStyle="1" w:styleId="Heading5Char">
    <w:name w:val="Heading 5 Char"/>
    <w:basedOn w:val="DefaultParagraphFont"/>
    <w:link w:val="Heading5"/>
    <w:uiPriority w:val="9"/>
    <w:semiHidden/>
    <w:rsid w:val="00E850D0"/>
    <w:rPr>
      <w:rFonts w:ascii="Calibri Light" w:hAnsi="Calibri Light" w:cs="Calibri Light"/>
      <w:color w:val="2F5496"/>
      <w:sz w:val="22"/>
    </w:rPr>
  </w:style>
  <w:style w:type="paragraph" w:styleId="BodyText">
    <w:name w:val="Body Text"/>
    <w:basedOn w:val="Normal"/>
    <w:link w:val="BodyTextChar"/>
    <w:uiPriority w:val="1"/>
    <w:semiHidden/>
    <w:unhideWhenUsed/>
    <w:rsid w:val="00E850D0"/>
    <w:pPr>
      <w:autoSpaceDE w:val="0"/>
      <w:autoSpaceDN w:val="0"/>
      <w:spacing w:after="0" w:line="240" w:lineRule="auto"/>
    </w:pPr>
    <w:rPr>
      <w:rFonts w:ascii="Calibri" w:hAnsi="Calibri" w:cs="Calibri"/>
      <w:sz w:val="18"/>
      <w:szCs w:val="18"/>
    </w:rPr>
  </w:style>
  <w:style w:type="character" w:customStyle="1" w:styleId="BodyTextChar">
    <w:name w:val="Body Text Char"/>
    <w:basedOn w:val="DefaultParagraphFont"/>
    <w:link w:val="BodyText"/>
    <w:uiPriority w:val="1"/>
    <w:semiHidden/>
    <w:rsid w:val="00E850D0"/>
    <w:rPr>
      <w:rFonts w:ascii="Calibri" w:hAnsi="Calibri" w:cs="Calibri"/>
      <w:sz w:val="18"/>
      <w:szCs w:val="18"/>
    </w:rPr>
  </w:style>
  <w:style w:type="table" w:styleId="TableGrid">
    <w:name w:val="Table Grid"/>
    <w:basedOn w:val="TableNormal"/>
    <w:rsid w:val="00D25E81"/>
    <w:pPr>
      <w:spacing w:after="0" w:line="240" w:lineRule="auto"/>
      <w:ind w:left="907"/>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0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wayhousing.co.uk/home-tenancy/gardens-fe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15EB57A27444F8F560EB700A14E6A" ma:contentTypeVersion="0" ma:contentTypeDescription="Create a new document." ma:contentTypeScope="" ma:versionID="3d34692817128f54132ff5f7291322cb">
  <xsd:schema xmlns:xsd="http://www.w3.org/2001/XMLSchema" xmlns:xs="http://www.w3.org/2001/XMLSchema" xmlns:p="http://schemas.microsoft.com/office/2006/metadata/properties" targetNamespace="http://schemas.microsoft.com/office/2006/metadata/properties" ma:root="true" ma:fieldsID="924611853b19c741ced236ffa8012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4C0F2-9557-41A8-852E-3089CD3C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5A3462-E422-4BE2-AE12-6DBDD0D867F1}">
  <ds:schemaRefs>
    <ds:schemaRef ds:uri="http://schemas.microsoft.com/sharepoint/v3/contenttype/forms"/>
  </ds:schemaRefs>
</ds:datastoreItem>
</file>

<file path=customXml/itemProps3.xml><?xml version="1.0" encoding="utf-8"?>
<ds:datastoreItem xmlns:ds="http://schemas.openxmlformats.org/officeDocument/2006/customXml" ds:itemID="{8DCFDF8D-41CE-489D-86D0-7523AA326CA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Benfield</dc:creator>
  <cp:keywords/>
  <dc:description/>
  <cp:lastModifiedBy>Rose Lucocq</cp:lastModifiedBy>
  <cp:revision>2</cp:revision>
  <cp:lastPrinted>2023-05-02T15:28:00Z</cp:lastPrinted>
  <dcterms:created xsi:type="dcterms:W3CDTF">2023-08-07T10:33:00Z</dcterms:created>
  <dcterms:modified xsi:type="dcterms:W3CDTF">2023-08-07T10:33:00Z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0x0101000B515EB57A27444F8F560EB700A14E6A</vt:lpwstr>
  </property>
</Properties>
</file>